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Maredia Amin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URBAN OUTFITTERS INC</w:t>
              </w:r>
            </w:hyperlink>
            <w:r>
              <w:rPr/>
              <w:t xml:space="preserve"> [ </w:t>
            </w:r>
            <w:r>
              <w:rPr>
                <w:rFonts w:ascii="Times;serif" w:hAnsi="Times;serif"/>
                <w:color w:val="0000FF"/>
                <w:sz w:val="24"/>
                <w:shd w:fill="FFFFFF" w:val="clear"/>
              </w:rPr>
              <w:t>URBN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of the issuer's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on the earlier of June 3, 2026 or the date preceding the day of the 2026 annual meeting of the issuer's shareholders, provided that the reporting person is a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June 3, 2027 or the date preceding the day of the 2027 annual meeting of the issuer's shareholders, provided that the reporting person is a director of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Amin N. Maredia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1624" TargetMode="External"/><Relationship Id="rId5" Type="http://schemas.openxmlformats.org/officeDocument/2006/relationships/hyperlink" Target="http://www.sec.gov/cgi-bin/browse-edgar?action=getcompany&amp;CIK=0000912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3618</Characters>
  <CharactersWithSpaces>4225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