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30"/>
        </w:rPr>
      </w:pPr>
      <w:bookmarkStart w:id="0" w:name="urbn-20260731.htm"/>
      <w:bookmarkStart w:id="1" w:name="ksurbn20260731"/>
      <w:bookmarkEnd w:id="0"/>
      <w:bookmarkEnd w:id="1"/>
      <w:r>
        <w:rPr>
          <w:rFonts w:ascii="Times New Roman" w:hAnsi="Times New Roman"/>
          <w:b/>
          <w:color w:val="000000"/>
          <w:sz w:val="30"/>
        </w:rPr>
        <w:t>UNITED STATES</w:t>
      </w:r>
      <w:r>
        <w:rPr>
          <w:rFonts w:ascii="Times New Roman" w:hAnsi="Times New Roman"/>
          <w:color w:val="000000"/>
          <w:sz w:val="30"/>
        </w:rPr>
        <w:t xml:space="preserve"> </w:t>
      </w:r>
    </w:p>
    <w:p>
      <w:pPr>
        <w:pStyle w:val="TextBody"/>
        <w:bidi w:val="0"/>
        <w:jc w:val="center"/>
        <w:rPr>
          <w:rFonts w:ascii="Times New Roman" w:hAnsi="Times New Roman"/>
          <w:sz w:val="30"/>
        </w:rPr>
      </w:pPr>
      <w:r>
        <w:rPr>
          <w:rFonts w:ascii="Times New Roman" w:hAnsi="Times New Roman"/>
          <w:b/>
          <w:color w:val="000000"/>
          <w:sz w:val="30"/>
        </w:rPr>
        <w:t>SECURITIES AND EXCHANGE COMMISSION</w:t>
      </w:r>
      <w:r>
        <w:rPr>
          <w:rFonts w:ascii="Times New Roman" w:hAnsi="Times New Roman"/>
          <w:color w:val="000000"/>
          <w:sz w:val="30"/>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80" w:after="283"/>
        <w:jc w:val="center"/>
        <w:rPr>
          <w:rFonts w:ascii="Times New Roman" w:hAnsi="Times New Roman"/>
          <w:sz w:val="30"/>
        </w:rPr>
      </w:pPr>
      <w:r>
        <w:rPr>
          <w:rFonts w:ascii="Times New Roman" w:hAnsi="Times New Roman"/>
          <w:b/>
          <w:color w:val="000000"/>
          <w:sz w:val="30"/>
        </w:rPr>
        <w:t>FORM 10-Q</w:t>
      </w:r>
      <w:r>
        <w:rPr>
          <w:rFonts w:ascii="Times New Roman" w:hAnsi="Times New Roman"/>
          <w:color w:val="000000"/>
          <w:sz w:val="30"/>
        </w:rPr>
        <w:t xml:space="preserve"> </w:t>
      </w:r>
    </w:p>
    <w:p>
      <w:pPr>
        <w:pStyle w:val="TextBody"/>
        <w:bidi w:val="0"/>
        <w:spacing w:before="80" w:after="283"/>
        <w:jc w:val="both"/>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18"/>
        </w:rPr>
      </w:pPr>
      <w:r>
        <w:rPr>
          <w:rFonts w:ascii="Times New Roman" w:hAnsi="Times New Roman"/>
          <w:b/>
          <w:color w:val="000000"/>
          <w:sz w:val="18"/>
        </w:rPr>
        <w:t>For the Quarterly Period Ended July 31, 2026</w:t>
      </w:r>
      <w:r>
        <w:rPr>
          <w:rFonts w:ascii="Times New Roman" w:hAnsi="Times New Roman"/>
          <w:color w:val="000000"/>
          <w:sz w:val="18"/>
        </w:rPr>
        <w:t xml:space="preserve"> </w:t>
      </w:r>
    </w:p>
    <w:p>
      <w:pPr>
        <w:pStyle w:val="TextBody"/>
        <w:bidi w:val="0"/>
        <w:spacing w:before="80" w:after="283"/>
        <w:jc w:val="center"/>
        <w:rPr>
          <w:rFonts w:ascii="Times New Roman" w:hAnsi="Times New Roman"/>
          <w:sz w:val="18"/>
        </w:rPr>
      </w:pPr>
      <w:r>
        <w:rPr>
          <w:rFonts w:ascii="Times New Roman" w:hAnsi="Times New Roman"/>
          <w:b/>
          <w:color w:val="000000"/>
          <w:sz w:val="18"/>
        </w:rPr>
        <w:t>OR</w:t>
      </w:r>
      <w:r>
        <w:rPr>
          <w:rFonts w:ascii="Times New Roman" w:hAnsi="Times New Roman"/>
          <w:color w:val="000000"/>
          <w:sz w:val="18"/>
        </w:rPr>
        <w:t xml:space="preserve"> </w:t>
      </w:r>
    </w:p>
    <w:p>
      <w:pPr>
        <w:pStyle w:val="TextBody"/>
        <w:bidi w:val="0"/>
        <w:spacing w:before="80" w:after="283"/>
        <w:jc w:val="both"/>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No. 000-22754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40"/>
        </w:rPr>
      </w:pPr>
      <w:r>
        <w:rPr>
          <w:rFonts w:ascii="Times New Roman" w:hAnsi="Times New Roman"/>
          <w:b/>
          <w:color w:val="000000"/>
          <w:sz w:val="40"/>
        </w:rPr>
        <w:t>Urban Outfitters, Inc.</w:t>
      </w:r>
      <w:r>
        <w:rPr>
          <w:rFonts w:ascii="Times New Roman" w:hAnsi="Times New Roman"/>
          <w:color w:val="000000"/>
          <w:sz w:val="40"/>
        </w:rPr>
        <w:t xml:space="preserve"> </w:t>
      </w:r>
    </w:p>
    <w:p>
      <w:pPr>
        <w:pStyle w:val="TextBody"/>
        <w:bidi w:val="0"/>
        <w:jc w:val="center"/>
        <w:rPr>
          <w:rFonts w:ascii="Times New Roman" w:hAnsi="Times New Roman"/>
          <w:sz w:val="18"/>
        </w:rPr>
      </w:pPr>
      <w:r>
        <w:rPr>
          <w:rFonts w:ascii="Times New Roman" w:hAnsi="Times New Roman"/>
          <w:b/>
          <w:color w:val="000000"/>
          <w:sz w:val="18"/>
        </w:rPr>
        <w:t>(Exact Name of Registrant as Specified in Its Charter)</w:t>
      </w:r>
      <w:r>
        <w:rPr>
          <w:rFonts w:ascii="Times New Roman" w:hAnsi="Times New Roman"/>
          <w:color w:val="000000"/>
          <w:sz w:val="18"/>
        </w:rPr>
        <w:t xml:space="preserve"> </w:t>
      </w:r>
    </w:p>
    <w:tbl>
      <w:tblPr>
        <w:tblW w:w="4877" w:type="dxa"/>
        <w:jc w:val="left"/>
        <w:tblInd w:w="0" w:type="dxa"/>
        <w:tblLayout w:type="fixed"/>
        <w:tblCellMar>
          <w:top w:w="28" w:type="dxa"/>
          <w:left w:w="28" w:type="dxa"/>
          <w:bottom w:w="28" w:type="dxa"/>
          <w:right w:w="28" w:type="dxa"/>
        </w:tblCellMar>
      </w:tblPr>
      <w:tblGrid>
        <w:gridCol w:w="3391"/>
        <w:gridCol w:w="1486"/>
      </w:tblGrid>
      <w:tr>
        <w:trPr/>
        <w:tc>
          <w:tcPr>
            <w:tcW w:w="33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Pennsylvania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23-2003332</w:t>
            </w:r>
          </w:p>
        </w:tc>
      </w:tr>
      <w:tr>
        <w:trPr/>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5000 South Broad Street, Philadelphia, PA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19112-1495</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18"/>
        </w:rPr>
      </w:pPr>
      <w:r>
        <w:rPr>
          <w:rFonts w:ascii="Times New Roman" w:hAnsi="Times New Roman"/>
          <w:b/>
          <w:color w:val="000000"/>
          <w:sz w:val="18"/>
        </w:rPr>
        <w:t>Registrant’s telephone number, including area code: (215) 454-5500</w:t>
      </w:r>
      <w:r>
        <w:rPr>
          <w:rFonts w:ascii="Times New Roman" w:hAnsi="Times New Roman"/>
          <w:color w:val="000000"/>
          <w:sz w:val="18"/>
        </w:rPr>
        <w:t xml:space="preserve"> </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tbl>
      <w:tblPr>
        <w:tblW w:w="8335" w:type="dxa"/>
        <w:jc w:val="left"/>
        <w:tblInd w:w="0" w:type="dxa"/>
        <w:tblLayout w:type="fixed"/>
        <w:tblCellMar>
          <w:top w:w="28" w:type="dxa"/>
          <w:left w:w="28" w:type="dxa"/>
          <w:bottom w:w="28" w:type="dxa"/>
          <w:right w:w="28" w:type="dxa"/>
        </w:tblCellMar>
      </w:tblPr>
      <w:tblGrid>
        <w:gridCol w:w="3271"/>
        <w:gridCol w:w="146"/>
        <w:gridCol w:w="1456"/>
        <w:gridCol w:w="146"/>
        <w:gridCol w:w="3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pPr>
            <w:r>
              <w:rPr/>
              <w:t> </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7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Shares, par value $.0001 per share</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URBN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80" w:after="283"/>
        <w:jc w:val="both"/>
        <w:rPr>
          <w:rFonts w:ascii="Times New Roman" w:hAnsi="Times New Roman"/>
          <w:color w:val="000000"/>
          <w:sz w:val="18"/>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63" w:type="dxa"/>
        <w:jc w:val="left"/>
        <w:tblInd w:w="0" w:type="dxa"/>
        <w:tblLayout w:type="fixed"/>
        <w:tblCellMar>
          <w:top w:w="28" w:type="dxa"/>
          <w:left w:w="28" w:type="dxa"/>
          <w:bottom w:w="28" w:type="dxa"/>
          <w:right w:w="28" w:type="dxa"/>
        </w:tblCellMar>
      </w:tblPr>
      <w:tblGrid>
        <w:gridCol w:w="1906"/>
        <w:gridCol w:w="1175"/>
        <w:gridCol w:w="2281"/>
        <w:gridCol w:w="601"/>
      </w:tblGrid>
      <w:tr>
        <w:trPr/>
        <w:tc>
          <w:tcPr>
            <w:tcW w:w="190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Large accelerated filer</w:t>
            </w:r>
          </w:p>
        </w:tc>
        <w:tc>
          <w:tcPr>
            <w:tcW w:w="1175" w:type="dxa"/>
            <w:tcBorders/>
            <w:tcMar>
              <w:top w:w="0" w:type="dxa"/>
              <w:left w:w="0" w:type="dxa"/>
              <w:bottom w:w="0" w:type="dxa"/>
              <w:right w:w="0" w:type="dxa"/>
            </w:tcMar>
            <w:vAlign w:val="center"/>
          </w:tcPr>
          <w:p>
            <w:pPr>
              <w:pStyle w:val="TableContents"/>
              <w:bidi w:val="0"/>
              <w:spacing w:before="0" w:after="283"/>
              <w:ind w:left="0" w:right="0" w:firstLine="859"/>
              <w:jc w:val="left"/>
              <w:rPr>
                <w:color w:val="000000"/>
              </w:rPr>
            </w:pPr>
            <w:r>
              <w:rPr>
                <w:color w:val="000000"/>
              </w:rPr>
              <w:t>☒</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Accelerated filer</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r>
        <w:trPr/>
        <w:tc>
          <w:tcPr>
            <w:tcW w:w="19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Non-accelerated filer</w:t>
            </w:r>
          </w:p>
        </w:tc>
        <w:tc>
          <w:tcPr>
            <w:tcW w:w="1175" w:type="dxa"/>
            <w:tcBorders/>
            <w:tcMar>
              <w:top w:w="0" w:type="dxa"/>
              <w:left w:w="0" w:type="dxa"/>
              <w:bottom w:w="0" w:type="dxa"/>
              <w:right w:w="0" w:type="dxa"/>
            </w:tcMar>
            <w:vAlign w:val="center"/>
          </w:tcPr>
          <w:p>
            <w:pPr>
              <w:pStyle w:val="TableContents"/>
              <w:bidi w:val="0"/>
              <w:spacing w:before="0" w:after="283"/>
              <w:ind w:left="0" w:right="0" w:firstLine="859"/>
              <w:jc w:val="left"/>
              <w:rPr>
                <w:color w:val="000000"/>
              </w:rPr>
            </w:pPr>
            <w:r>
              <w:rPr>
                <w:color w:val="000000"/>
              </w:rPr>
              <w:t>☐</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Smaller reporting company</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tcBorders/>
            <w:tcMar>
              <w:top w:w="0" w:type="dxa"/>
              <w:left w:w="0" w:type="dxa"/>
              <w:bottom w:w="0" w:type="dxa"/>
              <w:right w:w="0" w:type="dxa"/>
            </w:tcMar>
            <w:vAlign w:val="center"/>
          </w:tcPr>
          <w:p>
            <w:pPr>
              <w:pStyle w:val="TableContents"/>
              <w:bidi w:val="0"/>
              <w:spacing w:before="0" w:after="283"/>
              <w:ind w:left="0" w:right="0" w:firstLine="859"/>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Emerging growth company</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bl>
    <w:p>
      <w:pPr>
        <w:pStyle w:val="TextBody"/>
        <w:bidi w:val="0"/>
        <w:spacing w:before="80" w:after="283"/>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in Rule 12b-2 of the Exchange Act). Yes ☐ No ☒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 xml:space="preserve">Indicate the number of shares outstanding of each of the issuer’s classes of common stock, as of the latest practicable date.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Common shares, $0.0001 par value—85,660,181 shares outstanding on September 3, 2026.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INFORMATION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86"/>
        <w:gridCol w:w="8617"/>
        <w:gridCol w:w="602"/>
      </w:tblGrid>
      <w:tr>
        <w:trPr/>
        <w:tc>
          <w:tcPr>
            <w:tcW w:w="986" w:type="dxa"/>
            <w:tcBorders/>
            <w:vAlign w:val="center"/>
          </w:tcPr>
          <w:p>
            <w:pPr>
              <w:pStyle w:val="TableContents"/>
              <w:bidi w:val="0"/>
              <w:spacing w:before="0" w:after="283"/>
              <w:jc w:val="left"/>
              <w:rPr>
                <w:sz w:val="4"/>
                <w:szCs w:val="4"/>
              </w:rPr>
            </w:pPr>
            <w:r>
              <w:rPr>
                <w:sz w:val="4"/>
                <w:szCs w:val="4"/>
              </w:rPr>
            </w:r>
          </w:p>
        </w:tc>
        <w:tc>
          <w:tcPr>
            <w:tcW w:w="861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17"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rPr>
                <w:t>Financial Statements (unaudited)</w:t>
              </w:r>
            </w:hyperlink>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balance_sheets">
              <w:r>
                <w:rPr>
                  <w:rStyle w:val="InternetLink"/>
                  <w:rFonts w:ascii="Times New Roman" w:hAnsi="Times New Roman"/>
                  <w:color w:val="0000FF"/>
                  <w:sz w:val="20"/>
                </w:rPr>
                <w:t>Condensed Consolidated Balance Sheets as of July 31, 2026, January 31, 2026 and July 31,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income">
              <w:r>
                <w:rPr>
                  <w:rStyle w:val="InternetLink"/>
                  <w:rFonts w:ascii="Times New Roman" w:hAnsi="Times New Roman"/>
                  <w:color w:val="0000FF"/>
                  <w:sz w:val="20"/>
                </w:rPr>
                <w:t>Condensed Consolidated Statements of Income for the three and six months ended July 31,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ompre">
              <w:r>
                <w:rPr>
                  <w:rStyle w:val="InternetLink"/>
                  <w:rFonts w:ascii="Times New Roman" w:hAnsi="Times New Roman"/>
                  <w:color w:val="0000FF"/>
                  <w:sz w:val="20"/>
                </w:rPr>
                <w:t>Condensed Consolidated Statements of Comprehensive Income for the three and six months ended July 31,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hareholders_equity">
              <w:r>
                <w:rPr>
                  <w:rStyle w:val="InternetLink"/>
                  <w:rFonts w:ascii="Times New Roman" w:hAnsi="Times New Roman"/>
                  <w:color w:val="0000FF"/>
                  <w:sz w:val="20"/>
                </w:rPr>
                <w:t>Condensed Consolidated Statements of Shareholders’ Equity for the three and six months ended July 31,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ash_f">
              <w:r>
                <w:rPr>
                  <w:rStyle w:val="InternetLink"/>
                  <w:rFonts w:ascii="Times New Roman" w:hAnsi="Times New Roman"/>
                  <w:color w:val="0000FF"/>
                  <w:sz w:val="20"/>
                </w:rPr>
                <w:t>Condensed Consolidated Statements of Cash Flows for the six months ended July 31, 2026 and 2025</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densed_consolidated_financia">
              <w:r>
                <w:rPr>
                  <w:rStyle w:val="InternetLink"/>
                  <w:rFonts w:ascii="Times New Roman" w:hAnsi="Times New Roman"/>
                  <w:color w:val="0000FF"/>
                  <w:sz w:val="20"/>
                </w:rPr>
                <w:t>Notes to Condensed Consolidated Financial Statements</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21</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rPr>
                <w:t>Controls and Procedures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PART II</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INFORMATION</w:t>
            </w:r>
          </w:p>
        </w:tc>
      </w:tr>
      <w:tr>
        <w:trPr/>
        <w:tc>
          <w:tcPr>
            <w:tcW w:w="9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rPr>
                <w:t>Legal Proceedings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rPr>
                <w:t>Risk Factors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FF"/>
                  <w:sz w:val="20"/>
                </w:rPr>
                <w:t>Other Information</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32</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rPr>
                <w:t>Exhibits</w:t>
              </w:r>
            </w:hyperlink>
          </w:p>
        </w:tc>
        <w:tc>
          <w:tcPr>
            <w:tcW w:w="60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02"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1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rPr>
                <w:t>Signatures</w:t>
              </w:r>
            </w:hyperlink>
          </w:p>
        </w:tc>
        <w:tc>
          <w:tcPr>
            <w:tcW w:w="60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center"/>
        <w:rPr>
          <w:rFonts w:ascii="Times New Roman" w:hAnsi="Times New Roman"/>
          <w:sz w:val="20"/>
        </w:rPr>
      </w:pPr>
      <w:bookmarkStart w:id="3" w:name="financial_information"/>
      <w:bookmarkEnd w:id="3"/>
      <w:r>
        <w:rPr>
          <w:rFonts w:ascii="Times New Roman" w:hAnsi="Times New Roman"/>
          <w:b/>
          <w:color w:val="000000"/>
          <w:sz w:val="20"/>
        </w:rPr>
        <w:t>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938"/>
        <w:gridCol w:w="246"/>
        <w:gridCol w:w="211"/>
        <w:gridCol w:w="931"/>
        <w:gridCol w:w="246"/>
        <w:gridCol w:w="246"/>
        <w:gridCol w:w="211"/>
        <w:gridCol w:w="931"/>
        <w:gridCol w:w="246"/>
        <w:gridCol w:w="246"/>
        <w:gridCol w:w="211"/>
        <w:gridCol w:w="931"/>
        <w:gridCol w:w="611"/>
      </w:tblGrid>
      <w:tr>
        <w:trPr/>
        <w:tc>
          <w:tcPr>
            <w:tcW w:w="49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598,756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Accounts receivable, net of allowance for doubtful accounts of </w:t>
              <w:br/>
              <w:t>   $1,102, $1,209 and $2,388,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226,772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193,561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1,824,396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1,686,104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1,619,312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1,658,270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1,376,811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1,047,947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1,051,109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1,011,840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362,967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5,122,987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5,007,613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4,710,793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372,642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accrued compensation and 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564,713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1,118,094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1,096,148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990,197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2,268,771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2,192,326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2,130,401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shares; $.0001 par value, 10,000,000 shares authorized,</w:t>
              <w:br/>
              <w:t>   none issued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$.0001 par value, 200,000,000 shares authorized,</w:t>
              <w:br/>
              <w:t>   85,650,390, 89,698,222 and 89,696,293 shares issued and</w:t>
              <w:br/>
              <w:t>   outstanding,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2,877,697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2,604,741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2,854,216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2,815,287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5,122,987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5,007,613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4,710,793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ondensed_consolidated_statements_income"/>
      <w:bookmarkEnd w:id="6"/>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036"/>
        <w:gridCol w:w="146"/>
        <w:gridCol w:w="146"/>
        <w:gridCol w:w="211"/>
        <w:gridCol w:w="1036"/>
        <w:gridCol w:w="146"/>
        <w:gridCol w:w="146"/>
        <w:gridCol w:w="211"/>
        <w:gridCol w:w="1036"/>
        <w:gridCol w:w="146"/>
        <w:gridCol w:w="146"/>
        <w:gridCol w:w="211"/>
        <w:gridCol w:w="1036"/>
        <w:gridCol w:w="59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2,834,256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1,779,031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85,633,607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89,667,451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86,553,213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90,692,646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86,667,561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91,167,981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87,719,187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92,304,624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sz w:val="20"/>
        </w:rPr>
      </w:pPr>
      <w:r>
        <w:rPr>
          <w:rFonts w:ascii="Times New Roman" w:hAnsi="Times New Roman"/>
          <w:i/>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(losses) gains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consolidated_shareholders_equity"/>
      <w:bookmarkEnd w:id="8"/>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data)</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18"/>
        <w:gridCol w:w="146"/>
        <w:gridCol w:w="146"/>
        <w:gridCol w:w="1036"/>
        <w:gridCol w:w="166"/>
        <w:gridCol w:w="146"/>
        <w:gridCol w:w="211"/>
        <w:gridCol w:w="346"/>
        <w:gridCol w:w="146"/>
        <w:gridCol w:w="146"/>
        <w:gridCol w:w="235"/>
        <w:gridCol w:w="636"/>
        <w:gridCol w:w="166"/>
        <w:gridCol w:w="146"/>
        <w:gridCol w:w="211"/>
        <w:gridCol w:w="931"/>
        <w:gridCol w:w="146"/>
        <w:gridCol w:w="146"/>
        <w:gridCol w:w="270"/>
        <w:gridCol w:w="946"/>
        <w:gridCol w:w="166"/>
        <w:gridCol w:w="146"/>
        <w:gridCol w:w="211"/>
        <w:gridCol w:w="931"/>
        <w:gridCol w:w="211"/>
      </w:tblGrid>
      <w:tr>
        <w:trPr/>
        <w:tc>
          <w:tcPr>
            <w:tcW w:w="2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inclusive of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85,650,390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18"/>
        <w:gridCol w:w="146"/>
        <w:gridCol w:w="146"/>
        <w:gridCol w:w="1036"/>
        <w:gridCol w:w="166"/>
        <w:gridCol w:w="146"/>
        <w:gridCol w:w="211"/>
        <w:gridCol w:w="346"/>
        <w:gridCol w:w="146"/>
        <w:gridCol w:w="146"/>
        <w:gridCol w:w="235"/>
        <w:gridCol w:w="636"/>
        <w:gridCol w:w="166"/>
        <w:gridCol w:w="146"/>
        <w:gridCol w:w="211"/>
        <w:gridCol w:w="931"/>
        <w:gridCol w:w="146"/>
        <w:gridCol w:w="146"/>
        <w:gridCol w:w="270"/>
        <w:gridCol w:w="946"/>
        <w:gridCol w:w="166"/>
        <w:gridCol w:w="146"/>
        <w:gridCol w:w="211"/>
        <w:gridCol w:w="931"/>
        <w:gridCol w:w="211"/>
      </w:tblGrid>
      <w:tr>
        <w:trPr/>
        <w:tc>
          <w:tcPr>
            <w:tcW w:w="2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89,614,734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89,696,293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2,604,741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STATEMENTS OF SHAREHOLDERS’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data)</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146"/>
        <w:gridCol w:w="1036"/>
        <w:gridCol w:w="166"/>
        <w:gridCol w:w="146"/>
        <w:gridCol w:w="211"/>
        <w:gridCol w:w="346"/>
        <w:gridCol w:w="146"/>
        <w:gridCol w:w="146"/>
        <w:gridCol w:w="211"/>
        <w:gridCol w:w="736"/>
        <w:gridCol w:w="166"/>
        <w:gridCol w:w="146"/>
        <w:gridCol w:w="211"/>
        <w:gridCol w:w="931"/>
        <w:gridCol w:w="166"/>
        <w:gridCol w:w="146"/>
        <w:gridCol w:w="270"/>
        <w:gridCol w:w="946"/>
        <w:gridCol w:w="166"/>
        <w:gridCol w:w="146"/>
        <w:gridCol w:w="211"/>
        <w:gridCol w:w="931"/>
        <w:gridCol w:w="211"/>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89,698,222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2,815,287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inclusive of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85,650,390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146"/>
        <w:gridCol w:w="1036"/>
        <w:gridCol w:w="166"/>
        <w:gridCol w:w="146"/>
        <w:gridCol w:w="211"/>
        <w:gridCol w:w="346"/>
        <w:gridCol w:w="146"/>
        <w:gridCol w:w="146"/>
        <w:gridCol w:w="211"/>
        <w:gridCol w:w="736"/>
        <w:gridCol w:w="166"/>
        <w:gridCol w:w="146"/>
        <w:gridCol w:w="211"/>
        <w:gridCol w:w="931"/>
        <w:gridCol w:w="166"/>
        <w:gridCol w:w="146"/>
        <w:gridCol w:w="270"/>
        <w:gridCol w:w="946"/>
        <w:gridCol w:w="166"/>
        <w:gridCol w:w="146"/>
        <w:gridCol w:w="211"/>
        <w:gridCol w:w="931"/>
        <w:gridCol w:w="211"/>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inclusive of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89,696,293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9" w:name="condensed_consolidated_statements_cash_f"/>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841"/>
        <w:gridCol w:w="166"/>
        <w:gridCol w:w="146"/>
        <w:gridCol w:w="211"/>
        <w:gridCol w:w="841"/>
        <w:gridCol w:w="10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Provision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tax credit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disposition of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Payables,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251,046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paid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paid for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(220,293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295,861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 repurchases related to share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 repurchases related to taxes for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Tax credit investment liability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598,756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332,171</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71,789</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investing activities—Accrued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185,592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0" w:after="283"/>
        <w:jc w:val="center"/>
        <w:rPr/>
      </w:pPr>
      <w:r>
        <w:rPr/>
        <w:t> </w:t>
      </w:r>
    </w:p>
    <w:p>
      <w:pPr>
        <w:pStyle w:val="TextBody"/>
        <w:bidi w:val="0"/>
        <w:spacing w:before="6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URBAN OUTFITTERS,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0" w:name="notes_to_condensed_consolidated_financia"/>
      <w:bookmarkEnd w:id="10"/>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(dollars 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generally accepted accounting principles in the United States (“U.S. GAAP”) for interim financial information and with the instructions to Form 10-Q and Article 10 of Regulation S-X. In the opinion of management, all adjustments (consisting of normal recurring accruals) considered necessary for a fair presentation have been included. These condensed financial statements should be read in conjunction with Urban Outfitters, Inc.’s (the “Company’s”) Annual Report on Form 10-K for the fiscal year ended January 31, 2026, filed with the United States Securities and Exchange Commission on April 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business experiences seasonal fluctuations in net sales and net income, with a more significant portion of net sales typically realized in the second half of each year predominantly due to the year-end holiday period. Historically, and consistent with the retail industry, this seasonality also impacts our working capital requirements, particularly with regard to inventory. Accordingly, the results of operations for the three and six months ended July 31, 2026 are not necessarily indicative of the results to be expected for the full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fiscal year ends on January 31. All references in these notes to the Company’s fiscal years refer to the fiscal years ended on January 31 in those years. For example, the Company’s fiscal year 2027 will end on January 31, 2027.</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Tariff Refunds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20, 2026, the U.S. Supreme Court ruled that tariffs previously imposed under the International Emergency Economic Powers Act ("IEEPA") were unauthorized by the statute. In March 2026, the U.S. Court of International Trade ("CIT") issued an order directing U.S. Customs and Border Protection to process refunds for IEEPA tariffs. The Company filed for refunds for previously paid IEEPA tariffs in April 2026 and received substantially all of the refund payments in the three months ended July 31, 2026. The Company recognized a one-time financial benefit of $100,105 during the three and six months ended July 31, 2026, of which $95,660 was recorded as a reduction of "Cost of sales" and $4,445 was recorded as interest income included in "Other income, net" in the Condensed Consolidated Statements of Income. There continues to be uncertainty and legal challenges to current and proposed tariff regimes. The Company will continue to monitor ongoing developments related to tariffs.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Financial Accounting Standards Board ("FASB") issued an accounting standards update which requires disaggregated disclosure of certain costs and expenses including purchases of inventory, employee compensation, depreciation, amortization and other costs within relevant income statement captions. The update will be effective for the Company in its annual consolidated financial statements for the fiscal year ending January 31, 2028, and interim periods thereafter. The Company is currently assessing this update and the additional disclosures that will be required within the notes to its consolidated financial statements.</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Revenue from Contracts with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receivables occur when the Company satisfies all of its performance obligations under a contract and recognizes revenue prior to billing or receiving consideration from a customer for which it has an unconditional right to payment. Contract receivables arise from credit card and other electronic payment transactions and sales to the Company's wholesale segment customers and franchisees. For the six month period ended July 31, 2026, the opening and closing balances of contract receivables, net of allowance for doubtful accounts, were $95,668 and $102,958, respectively. For the six month period ended July 31, 2025, the opening and closing balances of contract receivables,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of allowance for doubtful accounts, were $74,014 and $86,922, respectively. Contract receivables are included in “Accounts receivable, net of allowance for doubtful accounts” in the Condensed Consolidated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represent unearned revenue and result from the Company receiving consideration in a contract with a customer for which it has not satisfied all of its performance obligations. The Company’s contract liabilities result from the issuance of gift cards, deferred subscription fee revenue, customer deposits and customer loyalty programs. Gift cards are expected to be redeemed within two years of issuance, with the majority of redemptions occurring in the first year. For the six month period ended July 31, 2026, the opening and closing balances of contract liabilities were $117,500 and $107,160, respectively. For the six month period ended July 31, 2025, the opening and closing balances of contract liabilities were $101,866 and $98,714, respectively. Contract liabilities are included in “Accrued expenses, accrued compensation and other current liabilities” in the Condensed Consolidated Balance Sheets. During the six month period ended July 31, 2026, the Company recognized $58,347 of revenue that was included in the contract liability balance at the beginning of the period. During the six month period ended July 31, 2025, the Company recognized $50,047 of revenue that was included in the contract liability balance at the beginning of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all periods shown, marketable securities are classified as available-for-sale. The amortized cost, gross unrealized gains (losses) and fair value of available-for-sale securities by major security type and class of security as of July 31, 2026, January 31, 2026 and July 31, 2025 were as follows: </w:t>
      </w:r>
    </w:p>
    <w:tbl>
      <w:tblPr>
        <w:tblW w:w="9200"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95"/>
        <w:gridCol w:w="591"/>
        <w:gridCol w:w="146"/>
        <w:gridCol w:w="146"/>
        <w:gridCol w:w="222"/>
        <w:gridCol w:w="664"/>
        <w:gridCol w:w="16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00"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9"/>
        <w:gridCol w:w="647"/>
        <w:gridCol w:w="146"/>
        <w:gridCol w:w="146"/>
        <w:gridCol w:w="270"/>
        <w:gridCol w:w="616"/>
        <w:gridCol w:w="16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00"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9"/>
        <w:gridCol w:w="647"/>
        <w:gridCol w:w="146"/>
        <w:gridCol w:w="146"/>
        <w:gridCol w:w="270"/>
        <w:gridCol w:w="616"/>
        <w:gridCol w:w="166"/>
        <w:gridCol w:w="146"/>
        <w:gridCol w:w="211"/>
        <w:gridCol w:w="781"/>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Proceeds from the sales and maturities of available-for-sale securities were $555,597 and $295,861 for the six months ended July 31, 2026, and 2025, respectively. The Company included in “Other income, net,” in the Condensed Consolidated Statements of Income, a net realized loss of $18 and $1 for the three and six months ended July 31, 2026, respectively, and a net realized gain of $7 and $273 for the three and six months ended July 31, 2025, respectively. Amortization of discounts and premiums, net, included in "Other income, net" in the Condensed Consolidated Statements of Income, resulted in a benefit of $218 and $478 for the three and six months ended July 31, 2026, respectively, and a benefit of $1,163 and $2,706 for the three and six months ended July 31, 2025, respectively. Mutual funds represent assets held in an irrevocable rabbi trust for the Company’s Non-qualified Deferred Compensation Plan (“NQDC”). These assets are a source of funds to match the funding obligations to participants in the NQDC but are subject to the Company’s general creditors. The Company elected the fair value option for financial assets for the mutual funds held in the rabbi trust resulting in all unrealized gains and losses being recorded in “Other income, net” in the Condensed Consolidated Statements of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utilizes a hierarchy that prioritizes fair value measurements based on the types of inputs used for the various valuation techniques (market approach, income approach and cost approach that relate to its financial assets and financial liabilities). The levels of the hierarchy are described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Observable inputs such as quoted prices in active markets for identical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Unobservable inputs that reflect the Company’s own assumptions.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Management’s assessment of the significance of a particular input to the fair value measurement requires judgment and may affect the valuation of financial assets and liabilities and their placement within the fair value hierarchy. The Company’s financial assets that are accounted for at fair value on a recurring basis are presented in the tables below: </w:t>
      </w:r>
    </w:p>
    <w:tbl>
      <w:tblPr>
        <w:tblW w:w="9785" w:type="dxa"/>
        <w:jc w:val="left"/>
        <w:tblInd w:w="0" w:type="dxa"/>
        <w:tblLayout w:type="fixed"/>
        <w:tblCellMar>
          <w:top w:w="28" w:type="dxa"/>
          <w:left w:w="28" w:type="dxa"/>
          <w:bottom w:w="28" w:type="dxa"/>
          <w:right w:w="28" w:type="dxa"/>
        </w:tblCellMar>
      </w:tblPr>
      <w:tblGrid>
        <w:gridCol w:w="4211"/>
        <w:gridCol w:w="186"/>
        <w:gridCol w:w="211"/>
        <w:gridCol w:w="676"/>
        <w:gridCol w:w="246"/>
        <w:gridCol w:w="186"/>
        <w:gridCol w:w="211"/>
        <w:gridCol w:w="781"/>
        <w:gridCol w:w="246"/>
        <w:gridCol w:w="186"/>
        <w:gridCol w:w="239"/>
        <w:gridCol w:w="391"/>
        <w:gridCol w:w="246"/>
        <w:gridCol w:w="186"/>
        <w:gridCol w:w="211"/>
        <w:gridCol w:w="78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Mutual funds, held in rabbi trust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 government agencies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322,325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9325" w:type="dxa"/>
        <w:jc w:val="left"/>
        <w:tblInd w:w="0" w:type="dxa"/>
        <w:tblLayout w:type="fixed"/>
        <w:tblCellMar>
          <w:top w:w="28" w:type="dxa"/>
          <w:left w:w="28" w:type="dxa"/>
          <w:bottom w:w="28" w:type="dxa"/>
          <w:right w:w="28" w:type="dxa"/>
        </w:tblCellMar>
      </w:tblPr>
      <w:tblGrid>
        <w:gridCol w:w="4211"/>
        <w:gridCol w:w="146"/>
        <w:gridCol w:w="211"/>
        <w:gridCol w:w="676"/>
        <w:gridCol w:w="146"/>
        <w:gridCol w:w="146"/>
        <w:gridCol w:w="211"/>
        <w:gridCol w:w="781"/>
        <w:gridCol w:w="146"/>
        <w:gridCol w:w="146"/>
        <w:gridCol w:w="239"/>
        <w:gridCol w:w="391"/>
        <w:gridCol w:w="146"/>
        <w:gridCol w:w="146"/>
        <w:gridCol w:w="211"/>
        <w:gridCol w:w="78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9325" w:type="dxa"/>
        <w:jc w:val="left"/>
        <w:tblInd w:w="0" w:type="dxa"/>
        <w:tblLayout w:type="fixed"/>
        <w:tblCellMar>
          <w:top w:w="28" w:type="dxa"/>
          <w:left w:w="28" w:type="dxa"/>
          <w:bottom w:w="28" w:type="dxa"/>
          <w:right w:w="28" w:type="dxa"/>
        </w:tblCellMar>
      </w:tblPr>
      <w:tblGrid>
        <w:gridCol w:w="4211"/>
        <w:gridCol w:w="146"/>
        <w:gridCol w:w="211"/>
        <w:gridCol w:w="676"/>
        <w:gridCol w:w="146"/>
        <w:gridCol w:w="146"/>
        <w:gridCol w:w="211"/>
        <w:gridCol w:w="781"/>
        <w:gridCol w:w="146"/>
        <w:gridCol w:w="146"/>
        <w:gridCol w:w="239"/>
        <w:gridCol w:w="391"/>
        <w:gridCol w:w="146"/>
        <w:gridCol w:w="146"/>
        <w:gridCol w:w="211"/>
        <w:gridCol w:w="781"/>
        <w:gridCol w:w="5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 Fair Value 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Mutual funds, held in rabbi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and pre-refunded municipal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Financial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assets consist of financial instruments whose value has been based on inputs that use, as their basis, readily observable market data that are actively quoted and are validated through external sources, including third-party pricing services and brokers.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Level 2 assets consist of financial instruments whose value has been based on quoted prices for similar assets and liabilities in active markets as well as quoted prices for identical or similar assets or liabilities in markets that are not active.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Level 3 assets consist of financial instruments where there has been no active market. The Company held no Level 3 financial instruments as of July 31, 2026, January 31, 2026 and July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cash and cash equivalents (Level 1) approximates carrying value since cash and cash equivalents consist of short-term highly liquid investments with maturities of less than three months at the time of purchase. As of July 31, 2026, January 31, 2026 and July 31, 2025, cash and cash equivalents included cash on hand, cash in banks, money market accounts and marketable securities with maturities of less than three months at the time of purchase. </w:t>
      </w:r>
    </w:p>
    <w:p>
      <w:pPr>
        <w:pStyle w:val="TextBody"/>
        <w:bidi w:val="0"/>
        <w:spacing w:before="360" w:after="283"/>
        <w:jc w:val="left"/>
        <w:rPr>
          <w:rFonts w:ascii="Times New Roman" w:hAnsi="Times New Roman"/>
          <w:sz w:val="20"/>
        </w:rPr>
      </w:pPr>
      <w:r>
        <w:rPr>
          <w:rFonts w:ascii="Times New Roman" w:hAnsi="Times New Roman"/>
          <w:b/>
          <w:i/>
          <w:color w:val="000000"/>
          <w:sz w:val="20"/>
        </w:rPr>
        <w:t>Non-financial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non-financial assets, primarily consisting of property and equipment and lease-related right-of-use assets, are tested for impairment whenever events or changes in circumstances indicate that the carrying value may not be recoverable.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property and equipment was determined using a discounted cash-flow model that utilized Level 3 inputs. The Company’s retail locations are reviewed for impairment at the retail location level, which is the lowest level at which individual cash flows can be identified. In calculating future cash flows, the Company makes estimates regarding future operating results based on its experience and knowledge of market factors in its retail locations. Right-of-use assets are tested for impairment in the same manner as property and equipment. For lease right-of-use assets, the Company determines the estimated fair value of the assets by comparing the discounted contractual rent payments to estimated market rent using an acceptable valuation methodology. During the three and six months ended July 31, 2026 and 2025, impairment charges were zero.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Debt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19, 2026, the Company and certain of its domestic subsidiaries entered into the fifth amendment (the "Fifth Amendment") to the Company's amended and restated credit agreement (the "Amended Credit Agreement"), amending the Company's asset-based revolving credit facility with its lenders, including JPMorgan Chase Bank, N.A., as administrative agent and J.P. Morgan Securities LLC and Wells Fargo Bank, National Association, as joint lead arrangers and co-book managers (the "Amended Credit Facility"). The Fifth Amendment, among other things, extends the maturity date of the Amended Credit Facility to May 2031, removes URBN Canada Retail, Inc. as a borrower and removes all Canadian dollar (CDOR) borrowing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Credit Facility provides for loans and letters of credit up to $350,000, subject to a borrowing base that is comprised of the Company’s eligible accounts receivable and inventory and includes a swing-line sub-facility, a multicurrency sub-facility and the option to expand the facility by up to $150,000. Borrowings under the Amended Credit Facility may be used for working capital and other general corporate purposes. The Amended Credit Facility matures in May 2031.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Amended Credit Facility provides for interest on borrowings, at the Company’s option, at either (i) adjusted SOFR, SONIA or EURIBOR plus an applicable margin ranging from 1.125% to 1.375%, or (ii) an adjusted ABR plus an applicable margin ranging from 0.125% to 0.375%, each such applicable margin depending on the level of availability under the Amended Credit Facility. Depending on the type of borrowing, interest on the Amended Credit Facility is payable monthly, quarterly or at the end of the applicable interest period. A commitment fee of 0.20% is payable quarterly on the unused portion of the Amended Credit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obligations under the Amended Credit Facility are unconditionally guaranteed by the Company and certain of its U.S. subsidiaries. The obligations under the Amended Credit Facility are secured by a first-priority security interest in inventory, accounts receivable and certain other assets of the Company and certain of its U.S. subsidiaries. The Amended Credit Agreement contains customary representations and warranties, negative and affirmative covenants and provisions relating to events of default.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the Company had $0 in borrowings under the Amended Credit Facility. As of July 31, 2026, the Company was in compliance with the terms of the Amended Credit Agreement and expects to remain in compliance with all terms, including covenants, of the Amended Credit Agreement. Outstanding stand-by letters of credit, which reduce the funds available under the Amended Credit Facility, were $9,714. Interest expense for the Amended Credit Facility was $459 and $487 for the six months ended July 31, 2026 and 2025, respectively, which was included in “Other income, net” in the Condensed Consolidated Statements of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Income Taxes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Valuation Allowance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July 31, 2026, the Company released a valuation allowance previously maintained against its net deferred tax assets in the United Kingdom, reflecting sustained improvement in the underlying business. The release was recorded as a discrete tax benefit of $16,225, which decreased the Company's effective tax rate for the three and six months ended July 31,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Tax Credit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 equity membership interest in a federal low-income housing tax credit entity. Refer to Note 10, "Income Taxes," in the Notes to the Consolidated Financial Statements on Form 10-K for the fiscal year ended January 31, 2026, for additional information on the tax credit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included in "Other income, net" in the Condensed Consolidated Statements of Income, interest expense related to the accretion of the liability of $597 and $1,281 for the three and six months ended July 31, 2026, respectively, and $960 and $2,012 for the three and six months ended July 31, 2025, respectively. Included in "Income tax expense" in the Condensed Consolidated Statements of Income was amortization of the investment of $3,726 and $7,452 for the three and six months ended July 31, 2026, respectively, and $4,294 and $8,587 for the three and six months ended July 31, 2025, respectively. Also included in "Income tax expense" in the Condensed Consolidated Statements of Income were income tax credits and other income tax benefits of $5,120 and $10,259 for the three and six months ended July 31, 2026, respectively, and $5,947 and $11,914 for the three and six months ended July 31, 2025, respectively. The carrying value of the investment is recorded in "Other assets" in the Condensed Consolidated Balance Sheets. The liabilities for the present value of the estimated future capital contributions are recorded in "Accrued expenses, accrued compensation and other current liabilities" and "Other non-current liabilities" in the Condensed Consolidated Balance Sheets. The following table summarizes the balances related to the investment at July 31, 2026, January 31, 2026 and July 31, 2025:</w:t>
      </w:r>
    </w:p>
    <w:p>
      <w:pPr>
        <w:pStyle w:val="TextBody"/>
        <w:bidi w:val="0"/>
        <w:spacing w:before="120" w:after="283"/>
        <w:jc w:val="left"/>
        <w:rPr/>
      </w:pPr>
      <w:r>
        <w:rPr/>
        <w:t> </w:t>
      </w:r>
    </w:p>
    <w:tbl>
      <w:tblPr>
        <w:tblW w:w="8978" w:type="dxa"/>
        <w:jc w:val="left"/>
        <w:tblInd w:w="0" w:type="dxa"/>
        <w:tblLayout w:type="fixed"/>
        <w:tblCellMar>
          <w:top w:w="28" w:type="dxa"/>
          <w:left w:w="28" w:type="dxa"/>
          <w:bottom w:w="28" w:type="dxa"/>
          <w:right w:w="28" w:type="dxa"/>
        </w:tblCellMar>
      </w:tblPr>
      <w:tblGrid>
        <w:gridCol w:w="5731"/>
        <w:gridCol w:w="211"/>
        <w:gridCol w:w="676"/>
        <w:gridCol w:w="146"/>
        <w:gridCol w:w="235"/>
        <w:gridCol w:w="755"/>
        <w:gridCol w:w="146"/>
        <w:gridCol w:w="211"/>
        <w:gridCol w:w="676"/>
        <w:gridCol w:w="191"/>
      </w:tblGrid>
      <w:tr>
        <w:trPr/>
        <w:tc>
          <w:tcPr>
            <w:tcW w:w="5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accrued compensation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maintains stock incentive plans pursuant to which it can grant restricted shares, unrestricted shares, incentive stock options, non-qualified stock options, restricted stock units (“RSUs”), performance stock units (“PSUs”) or stock appreciation rights. The fair value of PSUs and RSUs is equal to the stock price on the date of the grant. Share-based compensation expense included in “Selling, general and administrative expenses” in the Condensed Consolidated Statements of Income, for the three and six months ended July 31, 2026 and 2025, was as follows: </w:t>
      </w:r>
    </w:p>
    <w:tbl>
      <w:tblPr>
        <w:tblW w:w="6867"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11"/>
        <w:gridCol w:w="571"/>
        <w:gridCol w:w="146"/>
        <w:gridCol w:w="146"/>
        <w:gridCol w:w="211"/>
        <w:gridCol w:w="676"/>
        <w:gridCol w:w="146"/>
        <w:gridCol w:w="146"/>
        <w:gridCol w:w="211"/>
        <w:gridCol w:w="676"/>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40"/>
        <w:jc w:val="both"/>
        <w:rPr>
          <w:rFonts w:ascii="Times New Roman" w:hAnsi="Times New Roman"/>
          <w:color w:val="000000"/>
          <w:sz w:val="20"/>
        </w:rPr>
      </w:pPr>
      <w:r>
        <w:rPr>
          <w:rFonts w:ascii="Times New Roman" w:hAnsi="Times New Roman"/>
          <w:color w:val="000000"/>
          <w:sz w:val="20"/>
        </w:rPr>
        <w:t xml:space="preserve">Share-based awards granted and the weighted-average fair value of such awards for the six months ended July 31, 2026 was as follows: </w:t>
      </w:r>
    </w:p>
    <w:tbl>
      <w:tblPr>
        <w:tblW w:w="5152" w:type="dxa"/>
        <w:jc w:val="left"/>
        <w:tblInd w:w="0" w:type="dxa"/>
        <w:tblLayout w:type="fixed"/>
        <w:tblCellMar>
          <w:top w:w="28" w:type="dxa"/>
          <w:left w:w="28" w:type="dxa"/>
          <w:bottom w:w="28" w:type="dxa"/>
          <w:right w:w="28" w:type="dxa"/>
        </w:tblCellMar>
      </w:tblPr>
      <w:tblGrid>
        <w:gridCol w:w="2116"/>
        <w:gridCol w:w="146"/>
        <w:gridCol w:w="146"/>
        <w:gridCol w:w="781"/>
        <w:gridCol w:w="246"/>
        <w:gridCol w:w="246"/>
        <w:gridCol w:w="290"/>
        <w:gridCol w:w="790"/>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512,649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587,283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During the six months ended July 31, 2026, 20,000 stock options were exercised, 145,244 PSUs vested and 771,412 RSUs vested.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unrecognized compensation cost related to outstanding share-based awards and the weighted-average period in which the cost is expected to be recognized as of July 31, 2026 was as follows: </w:t>
      </w:r>
    </w:p>
    <w:tbl>
      <w:tblPr>
        <w:tblW w:w="5141" w:type="dxa"/>
        <w:jc w:val="left"/>
        <w:tblInd w:w="0" w:type="dxa"/>
        <w:tblLayout w:type="fixed"/>
        <w:tblCellMar>
          <w:top w:w="28" w:type="dxa"/>
          <w:left w:w="28" w:type="dxa"/>
          <w:bottom w:w="28" w:type="dxa"/>
          <w:right w:w="28" w:type="dxa"/>
        </w:tblCellMar>
      </w:tblPr>
      <w:tblGrid>
        <w:gridCol w:w="2116"/>
        <w:gridCol w:w="146"/>
        <w:gridCol w:w="270"/>
        <w:gridCol w:w="871"/>
        <w:gridCol w:w="246"/>
        <w:gridCol w:w="246"/>
        <w:gridCol w:w="246"/>
        <w:gridCol w:w="609"/>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8</w:t>
      </w:r>
      <w:r>
        <w:rPr>
          <w:rFonts w:ascii="Times New Roman" w:hAnsi="Times New Roman"/>
          <w:b/>
          <w:i/>
          <w:color w:val="000000"/>
          <w:sz w:val="20"/>
        </w:rPr>
        <w:t xml:space="preserve">. </w:t>
      </w:r>
      <w:r>
        <w:rPr>
          <w:rFonts w:ascii="Times New Roman" w:hAnsi="Times New Roman"/>
          <w:b/>
          <w:color w:val="000000"/>
          <w:sz w:val="20"/>
        </w:rPr>
        <w:t>Shareholders’ Equity</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Share repurchase activity under the Company's share repurchase program was as follows:</w:t>
      </w:r>
    </w:p>
    <w:tbl>
      <w:tblPr>
        <w:tblW w:w="10135" w:type="dxa"/>
        <w:jc w:val="left"/>
        <w:tblInd w:w="0" w:type="dxa"/>
        <w:tblLayout w:type="fixed"/>
        <w:tblCellMar>
          <w:top w:w="28" w:type="dxa"/>
          <w:left w:w="28" w:type="dxa"/>
          <w:bottom w:w="28" w:type="dxa"/>
          <w:right w:w="28" w:type="dxa"/>
        </w:tblCellMar>
      </w:tblPr>
      <w:tblGrid>
        <w:gridCol w:w="5326"/>
        <w:gridCol w:w="146"/>
        <w:gridCol w:w="241"/>
        <w:gridCol w:w="395"/>
        <w:gridCol w:w="166"/>
        <w:gridCol w:w="166"/>
        <w:gridCol w:w="241"/>
        <w:gridCol w:w="395"/>
        <w:gridCol w:w="146"/>
        <w:gridCol w:w="146"/>
        <w:gridCol w:w="211"/>
        <w:gridCol w:w="931"/>
        <w:gridCol w:w="146"/>
        <w:gridCol w:w="146"/>
        <w:gridCol w:w="211"/>
        <w:gridCol w:w="931"/>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common shares repurchased and subsequently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Total cost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cost per share, including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Inflation Reduction Act, the Company's share repurchases, net of issuances, are subject to a 1% excise tax. The total cost of share repurchases during the six months ended July 31, 2026 and 2025, excludes excise tax incurred of $2,611 and $1,134,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4, 2019, the Company’s Board of Directors authorized the repurchase of 20,000,000 common shares under a share repurchase program. As of July 31, 2026, 10,009,401 common shares were remaining under the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July 31, 2026, the Company acquired and subsequently retired 338,821 common shares at a total cost of $22,092 from employees to meet payroll tax withholding requirements on vested share-based awards. During the six months ended July 31, 2025, the Company acquired and subsequently retired 392,163 common shares at a total cost of $21,144 from employees to meet payroll tax withholding requirements on vested share-based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w:t>
      </w:r>
      <w:r>
        <w:rPr>
          <w:rFonts w:ascii="Times New Roman" w:hAnsi="Times New Roman"/>
          <w:b/>
          <w:i/>
          <w:color w:val="000000"/>
          <w:sz w:val="20"/>
        </w:rPr>
        <w:t xml:space="preserve">. </w:t>
      </w:r>
      <w:r>
        <w:rPr>
          <w:rFonts w:ascii="Times New Roman" w:hAnsi="Times New Roman"/>
          <w:b/>
          <w:color w:val="000000"/>
          <w:sz w:val="20"/>
        </w:rPr>
        <w:t>Other Comprehensive Income (Loss) and Accumulated Other Comprehensive Loss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tables present the changes in “Accumulated other comprehensive loss,” by component, net of tax, for the three and six months ended July 31, 2026 and 2025: </w:t>
      </w:r>
    </w:p>
    <w:tbl>
      <w:tblPr>
        <w:tblW w:w="10205" w:type="dxa"/>
        <w:jc w:val="left"/>
        <w:tblInd w:w="0" w:type="dxa"/>
        <w:tblLayout w:type="fixed"/>
        <w:tblCellMar>
          <w:top w:w="28" w:type="dxa"/>
          <w:left w:w="28" w:type="dxa"/>
          <w:bottom w:w="28" w:type="dxa"/>
          <w:right w:w="28" w:type="dxa"/>
        </w:tblCellMar>
      </w:tblPr>
      <w:tblGrid>
        <w:gridCol w:w="2024"/>
        <w:gridCol w:w="146"/>
        <w:gridCol w:w="211"/>
        <w:gridCol w:w="736"/>
        <w:gridCol w:w="166"/>
        <w:gridCol w:w="146"/>
        <w:gridCol w:w="338"/>
        <w:gridCol w:w="799"/>
        <w:gridCol w:w="166"/>
        <w:gridCol w:w="146"/>
        <w:gridCol w:w="211"/>
        <w:gridCol w:w="736"/>
        <w:gridCol w:w="166"/>
        <w:gridCol w:w="146"/>
        <w:gridCol w:w="211"/>
        <w:gridCol w:w="736"/>
        <w:gridCol w:w="166"/>
        <w:gridCol w:w="146"/>
        <w:gridCol w:w="338"/>
        <w:gridCol w:w="799"/>
        <w:gridCol w:w="166"/>
        <w:gridCol w:w="146"/>
        <w:gridCol w:w="211"/>
        <w:gridCol w:w="736"/>
        <w:gridCol w:w="413"/>
      </w:tblGrid>
      <w:tr>
        <w:trPr/>
        <w:tc>
          <w:tcPr>
            <w:tcW w:w="2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 2026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(Losses)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(Losses)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br/>
              <w:t>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w:t>
              <w:br/>
              <w:t>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w:t>
              <w:br/>
              <w:t>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4"/>
        <w:gridCol w:w="146"/>
        <w:gridCol w:w="211"/>
        <w:gridCol w:w="736"/>
        <w:gridCol w:w="166"/>
        <w:gridCol w:w="146"/>
        <w:gridCol w:w="338"/>
        <w:gridCol w:w="799"/>
        <w:gridCol w:w="166"/>
        <w:gridCol w:w="146"/>
        <w:gridCol w:w="211"/>
        <w:gridCol w:w="736"/>
        <w:gridCol w:w="166"/>
        <w:gridCol w:w="146"/>
        <w:gridCol w:w="211"/>
        <w:gridCol w:w="736"/>
        <w:gridCol w:w="166"/>
        <w:gridCol w:w="146"/>
        <w:gridCol w:w="411"/>
        <w:gridCol w:w="726"/>
        <w:gridCol w:w="166"/>
        <w:gridCol w:w="146"/>
        <w:gridCol w:w="211"/>
        <w:gridCol w:w="736"/>
        <w:gridCol w:w="413"/>
      </w:tblGrid>
      <w:tr>
        <w:trPr/>
        <w:tc>
          <w:tcPr>
            <w:tcW w:w="2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(Losses)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(Losses)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 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br/>
              <w:t>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w:t>
              <w:br/>
              <w:t>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w:t>
              <w:br/>
              <w: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unrealized gains and losses on available-for-sale securities reclassified from accumulated other comprehensive loss were recorded in “Other income, net” in the Condensed Consolidated Statements of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Net Income per Common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income per common share is calculated by dividing net income by the weighted-average number of common shares outstanding. Diluted net income per common share is calculated by dividing net income by the weighted-average number of common shares and potentially dilutive securities outstanding during the period using the treasury stock method for the Company's stock options, performance stock units and restricted stock units. The following is a reconciliation of the weighted-average common shares outstanding and calculation of basic and diluted net income per common share: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4"/>
        <w:gridCol w:w="146"/>
        <w:gridCol w:w="211"/>
        <w:gridCol w:w="1036"/>
        <w:gridCol w:w="146"/>
        <w:gridCol w:w="146"/>
        <w:gridCol w:w="211"/>
        <w:gridCol w:w="1036"/>
        <w:gridCol w:w="146"/>
        <w:gridCol w:w="146"/>
        <w:gridCol w:w="211"/>
        <w:gridCol w:w="1036"/>
        <w:gridCol w:w="146"/>
        <w:gridCol w:w="146"/>
        <w:gridCol w:w="211"/>
        <w:gridCol w:w="1036"/>
        <w:gridCol w:w="211"/>
      </w:tblGrid>
      <w:tr>
        <w:trPr/>
        <w:tc>
          <w:tcPr>
            <w:tcW w:w="3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85,633,607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89,667,451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86,553,213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90,692,646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options, performance stock units</w:t>
              <w:br/>
              <w:t>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1,611,978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86,667,561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91,167,981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87,719,187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92,304,624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six months ended July 31, 2026 and 2025, there were no awards to purchase common shares that were excluded from the calculation of diluted net income per common share for which the impact would be anti-dilutive.</w:t>
      </w:r>
    </w:p>
    <w:p>
      <w:pPr>
        <w:pStyle w:val="TextBody"/>
        <w:bidi w:val="0"/>
        <w:jc w:val="both"/>
        <w:rPr>
          <w:rFonts w:ascii="Times New Roman" w:hAnsi="Times New Roman"/>
          <w:color w:val="000000"/>
          <w:sz w:val="20"/>
        </w:rPr>
      </w:pPr>
      <w:r>
        <w:rPr>
          <w:rFonts w:ascii="Times New Roman" w:hAnsi="Times New Roman"/>
          <w:color w:val="000000"/>
          <w:sz w:val="20"/>
        </w:rPr>
        <w:t>Excluded from the calculation of diluted net income per common share as of July 31, 2026 and July 31, 2025, were 166,454 and 209,248 performance-based equity awards, respectively, because they did not meet the required performance criteria.</w:t>
      </w:r>
    </w:p>
    <w:p>
      <w:pPr>
        <w:pStyle w:val="TextBody"/>
        <w:bidi w:val="0"/>
        <w:spacing w:before="360" w:after="283"/>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party to various legal proceedings arising from normal business activities. Management believes that the ultimate resolution of these matters will not have a material adverse effect on the Company’s financial position, results of operations or cash flows.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Segment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offers lifestyle-oriented general merchandise and products and services through a portfolio of global consumer brands. The Company operates three reportable segments – “Retail,” “Subscription” and “Wholesale.”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Retail segment includes Anthropologie Group (which includes the Anthropologie, Terrain and Maeve brands), FP Group (which includes the Free People and FP Movement brands), Urban Outfitters and Menus &amp; Venues. The Company has aggregated its brands into the Retail segment based upon their shared management, customer base and economic characteristics. Reporting in this format provides management with the financial information necessary to evaluate the success of the segments and the overall business. The Company’s Retail segment omni-channel strategy enhances its customers’ brand experience by providing a seamless approach to the customer shopping experience. All Company-owned Retail segment shopping channels are closely integrated, including retail locations, websites, mobile applications and customer contact centers.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Subscription segment includes the Nuuly brand which offers customers a more sustainable way to explore fashion primarily through a monthly women’s apparel subscription rental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Wholesale segment includes the FP Group and Urban Outfitters brand. The Wholesale segment sells through department and specialty stores worldwide, third-party digital businesses and the Company's Retail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chief operating decision maker is the chief executive officer ("CEO"). The CEO regularly reviews net sales, gross profit and income from operations (excluding intercompany charges) when evaluating the performance of each segment and considers actual-to-budget variances for both profit measures when assessing segment performance and making decisions about the allocation of operating and capital resources to each segment. The CEO uses net sales, gross profit and income from operations when evaluating each segment during the budget and forecasting processes. The Company accounts for intersegment sales and transfers as if the sales and transfers were made to third parties making similar volume purchases. General corporate expenses include expenses incurred and directed by the corporate office that are not allocated to segments. The principal identifiable assets for the Retail and Wholesale segments are inventory and property and equipment. The principal identifiable assets for the Subscription segment are rental product and property and equipment.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policies of the reportable segments are the same as the policies described in Note 2, “Summary of Significant Accounting Policies,” in the Notes to Consolidated Financial Statements included in the Company’s Annual Report on Form 10-K for the fiscal year ended January 31, 2026. All of the Company’s segments are highly diversified. No one customer constitutes more than 10% of the Company’s total consolidated net sales. A summary of the information about the Company’s operations by segment is as follows: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212"/>
        <w:gridCol w:w="146"/>
        <w:gridCol w:w="235"/>
        <w:gridCol w:w="1042"/>
        <w:gridCol w:w="146"/>
        <w:gridCol w:w="146"/>
        <w:gridCol w:w="310"/>
        <w:gridCol w:w="1156"/>
        <w:gridCol w:w="146"/>
        <w:gridCol w:w="146"/>
        <w:gridCol w:w="316"/>
        <w:gridCol w:w="1020"/>
        <w:gridCol w:w="146"/>
        <w:gridCol w:w="146"/>
        <w:gridCol w:w="221"/>
        <w:gridCol w:w="976"/>
        <w:gridCol w:w="695"/>
      </w:tblGrid>
      <w:tr>
        <w:trPr/>
        <w:tc>
          <w:tcPr>
            <w:tcW w:w="3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Net sales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1,661,915</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940,364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721,551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414,195</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307,356</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18,617</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288,739</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Other income, net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9,801</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298,540</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0"/>
        <w:gridCol w:w="146"/>
        <w:gridCol w:w="235"/>
        <w:gridCol w:w="1041"/>
        <w:gridCol w:w="146"/>
        <w:gridCol w:w="146"/>
        <w:gridCol w:w="309"/>
        <w:gridCol w:w="1151"/>
        <w:gridCol w:w="146"/>
        <w:gridCol w:w="146"/>
        <w:gridCol w:w="290"/>
        <w:gridCol w:w="1076"/>
        <w:gridCol w:w="146"/>
        <w:gridCol w:w="146"/>
        <w:gridCol w:w="221"/>
        <w:gridCol w:w="975"/>
        <w:gridCol w:w="695"/>
      </w:tblGrid>
      <w:tr>
        <w:trPr/>
        <w:tc>
          <w:tcPr>
            <w:tcW w:w="3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Net sales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3,143,260</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1,879,143</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1,264,117</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804,077</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460,040</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428,420</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Other income, net</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444,406</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2"/>
        <w:gridCol w:w="146"/>
        <w:gridCol w:w="235"/>
        <w:gridCol w:w="1042"/>
        <w:gridCol w:w="146"/>
        <w:gridCol w:w="146"/>
        <w:gridCol w:w="310"/>
        <w:gridCol w:w="1156"/>
        <w:gridCol w:w="146"/>
        <w:gridCol w:w="146"/>
        <w:gridCol w:w="316"/>
        <w:gridCol w:w="1020"/>
        <w:gridCol w:w="146"/>
        <w:gridCol w:w="146"/>
        <w:gridCol w:w="221"/>
        <w:gridCol w:w="976"/>
        <w:gridCol w:w="695"/>
      </w:tblGrid>
      <w:tr>
        <w:trPr/>
        <w:tc>
          <w:tcPr>
            <w:tcW w:w="3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Net sales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1,504,755</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938,594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566,161</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378,624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187,537</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174,387</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1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183,273</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0"/>
        <w:gridCol w:w="146"/>
        <w:gridCol w:w="235"/>
        <w:gridCol w:w="1041"/>
        <w:gridCol w:w="146"/>
        <w:gridCol w:w="146"/>
        <w:gridCol w:w="309"/>
        <w:gridCol w:w="1151"/>
        <w:gridCol w:w="146"/>
        <w:gridCol w:w="146"/>
        <w:gridCol w:w="290"/>
        <w:gridCol w:w="1076"/>
        <w:gridCol w:w="146"/>
        <w:gridCol w:w="146"/>
        <w:gridCol w:w="221"/>
        <w:gridCol w:w="975"/>
        <w:gridCol w:w="695"/>
      </w:tblGrid>
      <w:tr>
        <w:trPr/>
        <w:tc>
          <w:tcPr>
            <w:tcW w:w="3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Subscription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Net sales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2,834,256</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1,779,031</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1,055,225</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721,009</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Segment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334,216</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31,602</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302,614</w:t>
            </w:r>
          </w:p>
        </w:tc>
        <w:tc>
          <w:tcPr>
            <w:tcW w:w="6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18,532</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1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321,146</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Eliminated from Wholesale segment net sales were intercompany sales of $1,156 and $3,953 for the three and six months ended July 31, 2026, respectively, and $1,686 and $4,478 for the three and six months ended July 31, 2025,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Eliminated from Wholesale segment cost of sales were intercompany charges of $1,227 and $4,100 for the three and six months ended July 31, 2026, respectively, and $1,740 and $4,558 for the three and six months ended July 31, 2025,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July 31, 2026, the Company recognized a one-time financial benefit of $100,105 for refunds of previously paid IEEPA tariffs (see Note 1, "Basis of Presentation"), of which $95,660 was recorded as a reduction of "Cost of sales" and $4,445 was recorded as interest income included in "Other income, net." The one-time reduction of "Cost of sales" by segment during the three and six months ended July 31, 2026, was $84,472 for the Retail segment, $963 for the Subscription segment and $10,225 for the Wholesale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543" w:type="dxa"/>
        <w:jc w:val="left"/>
        <w:tblInd w:w="0" w:type="dxa"/>
        <w:tblLayout w:type="fixed"/>
        <w:tblCellMar>
          <w:top w:w="28" w:type="dxa"/>
          <w:left w:w="28" w:type="dxa"/>
          <w:bottom w:w="28" w:type="dxa"/>
          <w:right w:w="28" w:type="dxa"/>
        </w:tblCellMar>
      </w:tblPr>
      <w:tblGrid>
        <w:gridCol w:w="3296"/>
        <w:gridCol w:w="246"/>
        <w:gridCol w:w="211"/>
        <w:gridCol w:w="931"/>
        <w:gridCol w:w="246"/>
        <w:gridCol w:w="246"/>
        <w:gridCol w:w="211"/>
        <w:gridCol w:w="931"/>
        <w:gridCol w:w="246"/>
        <w:gridCol w:w="246"/>
        <w:gridCol w:w="211"/>
        <w:gridCol w:w="931"/>
        <w:gridCol w:w="591"/>
      </w:tblGrid>
      <w:tr>
        <w:trPr/>
        <w:tc>
          <w:tcPr>
            <w:tcW w:w="32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711,569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630,836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inventory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778,539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700,945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Rental product, net </w:t>
            </w:r>
            <w:r>
              <w:rPr>
                <w:rFonts w:ascii="Times New Roman" w:hAnsi="Times New Roman"/>
                <w:b/>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1,291,541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1,235,930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1,658,270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1,466,236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1,376,811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Rental product, net is included in "Other assets" in the Condensed Consolidated Balance Sheets.</w:t>
      </w:r>
    </w:p>
    <w:p>
      <w:pPr>
        <w:pStyle w:val="TextBody"/>
        <w:bidi w:val="0"/>
        <w:spacing w:before="40" w:after="283"/>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tables summarize net sales and percentage of net sales from contracts with customers by merchandise category and by segment:</w:t>
      </w:r>
    </w:p>
    <w:tbl>
      <w:tblPr>
        <w:tblW w:w="7567" w:type="dxa"/>
        <w:jc w:val="left"/>
        <w:tblInd w:w="0" w:type="dxa"/>
        <w:tblLayout w:type="fixed"/>
        <w:tblCellMar>
          <w:top w:w="28" w:type="dxa"/>
          <w:left w:w="28" w:type="dxa"/>
          <w:bottom w:w="28" w:type="dxa"/>
          <w:right w:w="28" w:type="dxa"/>
        </w:tblCellMar>
      </w:tblPr>
      <w:tblGrid>
        <w:gridCol w:w="2286"/>
        <w:gridCol w:w="146"/>
        <w:gridCol w:w="211"/>
        <w:gridCol w:w="931"/>
        <w:gridCol w:w="146"/>
        <w:gridCol w:w="146"/>
        <w:gridCol w:w="146"/>
        <w:gridCol w:w="421"/>
        <w:gridCol w:w="271"/>
        <w:gridCol w:w="146"/>
        <w:gridCol w:w="211"/>
        <w:gridCol w:w="931"/>
        <w:gridCol w:w="146"/>
        <w:gridCol w:w="146"/>
        <w:gridCol w:w="146"/>
        <w:gridCol w:w="421"/>
        <w:gridCol w:w="716"/>
      </w:tblGrid>
      <w:tr>
        <w:trPr/>
        <w:tc>
          <w:tcPr>
            <w:tcW w:w="2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Home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Wholesale operations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7567" w:type="dxa"/>
        <w:jc w:val="left"/>
        <w:tblInd w:w="0" w:type="dxa"/>
        <w:tblLayout w:type="fixed"/>
        <w:tblCellMar>
          <w:top w:w="28" w:type="dxa"/>
          <w:left w:w="28" w:type="dxa"/>
          <w:bottom w:w="28" w:type="dxa"/>
          <w:right w:w="28" w:type="dxa"/>
        </w:tblCellMar>
      </w:tblPr>
      <w:tblGrid>
        <w:gridCol w:w="2286"/>
        <w:gridCol w:w="146"/>
        <w:gridCol w:w="211"/>
        <w:gridCol w:w="931"/>
        <w:gridCol w:w="146"/>
        <w:gridCol w:w="146"/>
        <w:gridCol w:w="146"/>
        <w:gridCol w:w="421"/>
        <w:gridCol w:w="271"/>
        <w:gridCol w:w="146"/>
        <w:gridCol w:w="211"/>
        <w:gridCol w:w="931"/>
        <w:gridCol w:w="146"/>
        <w:gridCol w:w="146"/>
        <w:gridCol w:w="146"/>
        <w:gridCol w:w="421"/>
        <w:gridCol w:w="716"/>
      </w:tblGrid>
      <w:tr>
        <w:trPr/>
        <w:tc>
          <w:tcPr>
            <w:tcW w:w="2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Home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Nuuly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Apparel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Accessories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Wholesale operations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Net of intersegment elimination.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Apparel category includes intimates and activewear. The Home category includes home furnishings, electronics, gifts and decorative items. The Accessories category includes footwear, jewelry and handbags. The Other category includes beauty and shipping and handling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foreign operations primarily in Europe and Canada. Revenues and long-lived assets, based upon the Company’s domestic and foreign operations, are as follows: </w:t>
      </w:r>
    </w:p>
    <w:tbl>
      <w:tblPr>
        <w:tblW w:w="8543" w:type="dxa"/>
        <w:jc w:val="left"/>
        <w:tblInd w:w="0" w:type="dxa"/>
        <w:tblLayout w:type="fixed"/>
        <w:tblCellMar>
          <w:top w:w="28" w:type="dxa"/>
          <w:left w:w="28" w:type="dxa"/>
          <w:bottom w:w="28" w:type="dxa"/>
          <w:right w:w="28" w:type="dxa"/>
        </w:tblCellMar>
      </w:tblPr>
      <w:tblGrid>
        <w:gridCol w:w="3296"/>
        <w:gridCol w:w="246"/>
        <w:gridCol w:w="211"/>
        <w:gridCol w:w="931"/>
        <w:gridCol w:w="246"/>
        <w:gridCol w:w="246"/>
        <w:gridCol w:w="211"/>
        <w:gridCol w:w="931"/>
        <w:gridCol w:w="246"/>
        <w:gridCol w:w="246"/>
        <w:gridCol w:w="211"/>
        <w:gridCol w:w="931"/>
        <w:gridCol w:w="591"/>
      </w:tblGrid>
      <w:tr>
        <w:trPr/>
        <w:tc>
          <w:tcPr>
            <w:tcW w:w="32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1,496,956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1,303,937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1,223,526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property and equipment,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1,658,270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1,466,236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1,376,811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67" w:type="dxa"/>
        <w:jc w:val="left"/>
        <w:tblInd w:w="0" w:type="dxa"/>
        <w:tblLayout w:type="fixed"/>
        <w:tblCellMar>
          <w:top w:w="28" w:type="dxa"/>
          <w:left w:w="28" w:type="dxa"/>
          <w:bottom w:w="28" w:type="dxa"/>
          <w:right w:w="28" w:type="dxa"/>
        </w:tblCellMar>
      </w:tblPr>
      <w:tblGrid>
        <w:gridCol w:w="1986"/>
        <w:gridCol w:w="146"/>
        <w:gridCol w:w="211"/>
        <w:gridCol w:w="931"/>
        <w:gridCol w:w="146"/>
        <w:gridCol w:w="146"/>
        <w:gridCol w:w="211"/>
        <w:gridCol w:w="931"/>
        <w:gridCol w:w="146"/>
        <w:gridCol w:w="146"/>
        <w:gridCol w:w="211"/>
        <w:gridCol w:w="931"/>
        <w:gridCol w:w="146"/>
        <w:gridCol w:w="146"/>
        <w:gridCol w:w="211"/>
        <w:gridCol w:w="931"/>
        <w:gridCol w:w="591"/>
      </w:tblGrid>
      <w:tr>
        <w:trPr/>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2,476,921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Certain matters contained in this filing with the United States Securities and Exchange Commission (“SEC”) may contain forward-looking statements and are being made pursuant to the “safe harbor” provisions of the Private Securities Litigation Reform Act of 1995. When used in this Quarterly Report on Form 10-Q, the words “project,” “believe,” “plan,” “will,” “anticipate,” “expect” and similar expressions are intended to identify forward-looking statements, although not all forward-looking statements contain these identifying words. Any one, or all, of the following factors could cause actual financial results to differ materially from those financial results mentioned in the forward-looking statements: overall economic and market conditions (including current levels of inflation) and worldwide political events and the resultant impact on consumer spending patterns and our pricing power, the difficulty in predicting and responding to shifts in fashion trends, changes in the level of competitive pricing and promotional activity and other industry factors, currency fluctuations, economic conditions and legal or regulatory changes, the effects of war and geopolitical instability, including impacts of the conflicts in the Middle East and impacts of the war between Russia and Ukraine and from related sanctions imposed by the United States, European Union, United Kingdom and others, terrorism and civil unrest, natural disasters, severe or unseasonable weather conditions (including as a result of climate change) or public health crises, labor shortages and increases in labor costs, raw material costs and transportation costs, availability of suitable retail space for expansion, timing of store openings, risks associated with international expansion, seasonal fluctuations in gross sales, response to new concepts, our ability to integrate acquisitions, risks associated with digital sales, our ability to maintain and expand our digital sales channels, any material disruptions or security breaches with respect to our technology systems, our effective utilization of technological advancements, including in artificial intelligence, the departure of one or more key senior executives, import risks (including any shortage of transportation capacities or delays at ports), changes to U.S. and foreign trade policies (including the enactment of tariffs such as retaliatory tariffs), border adjustment taxes or increases in duties or quotas, the unexpected closing or disruption of, or any damage to, any of our distribution centers, our ability to protect our intellectual property rights, failure of our manufacturers and third-party vendors to comply with our social compliance program, risks related to environmental, social and governance activities, changes in our effective income tax rate, changes in accounting standards and subjective assumptions, regulatory changes and legal matters and other risks identified in our filings with the SEC, including those set forth in Item 1A of our Annual Report on Form 10-K for the fiscal year ended January 31, 2026, filed on April 1, 2026. We disclaim any intent or obligation to update forward-looking statements even if experience or future changes make it clear that actual results may differ materially from any projected results expressed or implied therein.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the context otherwise requires, all references to the “Company,” “we,” “us” or “our” refer to Urban Outfitters, Inc., together with its subsidiaries.</w:t>
      </w:r>
    </w:p>
    <w:p>
      <w:pPr>
        <w:pStyle w:val="TextBody"/>
        <w:bidi w:val="0"/>
        <w:spacing w:before="36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under three reportable segments – Retail, Subscription and Wholesale. Our Retail segment primarily includes our Anthropologie, Free People, FP Movement and Urban Outfitters brands. Our Retail segment products and services are sold directly to our customers through our retail locations, websites, mobile applications, social media and third-party digital platforms, customer contact centers and franchisee-owned stores. Our Subscription segment includes the Nuuly brand, which offers customers a more sustainable way to explore fashion primarily through a monthly women’s apparel subscription rental service. Our Wholesale segment includes our Free People, FP Movement and Urban Outfitters brands that sell through department and specialty stores worldwide, third-party digital businesses and our Retail segment. Our Wholesale segment primarily designs, develops and markets apparel, intimates, activewear and shoes.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fiscal year ends on January 31. All references to our fiscal years refer to the fiscal years ended on January 31 in those years. For example, our fiscal year 2027 will end on January 31, 2027 and our fiscal year 2026 ended on January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used in this document, unless otherwise defined, "Anthropologie Group" refers to our Anthropologie, Terrain and Maeve brands and "FP Group" refers to our Free People and FP Movement brands.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Macroeconomic Environment and Other Recent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Beginning in early 2025, the U.S. government enacted significant changes to its tariff regime that increased rates on a substantial number of imports. In February 2026, the U.S. Supreme Court invalidated tariffs imposed under the International Emergency Economic Powers Act ("IEEPA"). In March 2026, the U.S. Court of International Trade ("CIT") issued an order directing U.S. Customs and Border Protection to process refunds for IEEPA tariffs. We filed for refunds for previously paid IEEPA tariffs in April 2026 and received substantially all of the refund payments in the second quarter of fiscal 2027. We recognized a one-time financial benefit of $100.1 million during the second quarter of fiscal 2027, of which $95.7 million was recorded as a reduction of "Cost of sales" and $4.4 million was recorded as interest income included in "Other income, net" in the Condensed Consolidated Statements of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response to the U.S. Supreme Court decision, in February 2026 the government instituted temporary global tariffs under Section 122 of the Trade Act of 1974 ("Section 122"). In May 2026, the CIT ruled that the Section 122 tariffs were unauthorized, but we were required to continue paying them through their expiration on July 24, 2026. We continue to monitor the legal challenges to Section 122 tariffs and whether we will be eligible for additional refunds. Effective July 24, 2026, the government instituted new tariffs under Section 301 of the Trade Act of 1974 ("Section 301") as a result of investigations into forced labor practices of various foreign countries. The government indicated that additional Section 301 tariffs may be implemented in the coming months upon the conclusion of its investigation into excess manufacturing capacity.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additional tariff increases, increased reciprocal tariffs, other restrictive trade measures by the U.S. or foreign jurisdictions and continuing legal challenges to current and proposed tariff regimes may continue to contribute to uncertain global economic conditions, which may impact our operations and financial results throughout fiscal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continue to regularly evaluate global trade policies and take appropriate actions when necessary to mitigate the risks associated with tariffs. These actions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Negotiating better terms with our vendors;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Shifting our countries of origin (where possible) to enable the dual sourcing most of our own branded products (we currently have no single country that represents the majority of our production);</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Shifting our mode of transportation from air to ocean;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Gently raising prices in a strategic fashion where we believe we could without affecting the overall customer experience.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conflict in the Middle East, which began during the first quarter of fiscal 2027, has contributed to increased geopolitical uncertainty and disrupted global supply chains and energy markets. In response, we are actively employing supply chain strategies to mitigate higher inbound and outbound freight costs and higher delivery expenses driven by the fuel surcharges associated with the ongoing conflict. We will continue to monitor the conflict, the duration and magnitude of which remains highly unpredictable and may continue to negatively impact our operations and financial results throughout fiscal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United States enacted legislation commonly referred to as the One Big Beautiful Bill Act which includes various tax provisions, such as the permanent extension of certain expiring provisions of the Tax Cuts and Jobs Act, modifications to the international tax framework and the restoration of favorable tax treatment for certain business provisions like bonus depreciation. The legislation has multiple effective dates, with certain provisions effective in 2025 through 2027. This legislation did not have a material impact on the Company's fiscal 2026 income tax provision nor the Company's interim period income tax provision for the three and six months ended July 31, 2026. The Company continues to assess the impact of the legislation on our financial statements. Based on current guidance, we do not expect a material impact to our financial statements for the fiscal year ending January 31, 2027, however, additional guidance from the Internal Revenue Service and U.S. Treasury may affect the interpretation and application of certain provisions.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Retail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Retail segment omni-channel strategy enhances our customers’ brand experience by providing a seamless approach to the customer shopping experience. All Company-owned Retail segment shopping channels are closely integrated, including retail locations, websites, mobile applications, social media and third-party platforms and customer contact centers. Our investments in areas such as marketing campaigns and technology advancements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to generate demand for the Retail segment omni-channel and not the separate store or digital channels. We manage and analyze our performance based on a single Retail segment omni-channel rather than separate channels and believe that the Retail segment omni-channel results present the most meaningful and appropriate measure of our performance.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comparable Retail segment net sales data is equal to the sum of our comparable store and comparable digital channel net sales. A store is considered to be comparable if it has been open at least 12 full months, unless it was materially expanded or remodeled within that year or was not otherwise operating at its full capacity within that year due to store specific closures from events such as damage from fire, flood and natural weather events. A digital channel is considered to be comparable if it has been operational for at least 12 full months. Sales from stores and digital channels that do not fall within the definition of comparable store or digital channel are considered to be non-comparable. Franchise net sales and the effects of foreign currency translation are also considered non-comparable.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monitor Retail segment metrics including customer traffic, conversion rates and average units per transaction at our stores and on our websites and mobile applications. We also monitor average unit selling price and transactions at our stores and average order value on our websites and mobile applications. We believe that changes in any of these metrics may be caused by a response to our brands’ fashion offerings, our marketing campaigns and an overall growth in brand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from the Retail segment accounted for approximately 83.1% of consolidated net sales for the six months ended July 31, 2026, compared to 85.4% for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Anthropologie Group consists of the Anthropologie, Terrain and Maeve brands. The Anthropologie brand tailors its merchandise and inviting store environment to sophisticated and contemporary women aged 28 to 45. The internally designed and third-party brand product assortment includes women’s apparel, accessories, intimates, shoes, furniture, home decor and beauty and wellness. The brand also has a bridal collection consisting of wedding, bridesmaid and party dresses, accessories and decor. The Terrain brand is designed to appeal to women and men interested in a creative and sophisticated outdoor living and gardening experience. Merchandise includes lifestyle home, garden and outdoor living products, antiques, live plants, flowers, wellness products and accessories. The Maeve brand is designed to appeal to the modern woman seeking a versatile wardrobe by offering a comprehensive range of women's apparel, shoes and accessories. We are in the early stages of testing Maeve as a standalone brand which we will continue to evaluate over the coming years. Anthropologie Group stores are located in specialty centers, upscale street locations and enclosed malls. Anthropologie Group operates websites and mobile applications that capture the spirit of its brands by offering a similar yet broader selection of merchandise as found in its stores and sells merchandise through franchisee-owned stores in the Middle East. Anthropologie Group's North American Retail segment net sales accounted for approximately 45.1% of total Retail segment net sales for the six months ended July 31, 2026, compared to approximately 46.8% for the comparable period in fiscal 2026. European Retail segment net sales accounted for approximately 1.7% of total Retail segment net sales for the six months ended July 31, 2026, compared to approximately 1.8% for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FP Group consists of the Free People brand and the FP Movement brand. The Free People brand focuses its product offering on private label merchandise targeted to young contemporary women aged 25 to 30 and provides a unique merchandise mix of casual women’s apparel, intimates, activewear, shoes, accessories, home products, gifts and beauty and wellness. The FP Movement brand offers performance-ready activewear, beyond-the-gym staples and wellness essentials. FP Group stores are located in enclosed malls, upscale street locations and specialty centers. FP Group operates websites and mobile applications that capture the spirit of its brands by offering a similar yet broader selection of merchandise as found in its stores, as well as substantially all of the FP Group's wholesale offerings. FP Group's North American Retail segment net sales accounted for approximately 25.9% of total Retail segment net sales for the six months ended July 31, 2026, compared to approximately 24.4% for the comparable period in fiscal 2026. European Retail segment net sales accounted for approximately 1.4% of total Retail segment sales for both the six months ended July 31, 2026, and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Urban Outfitters targets young adults aged 18 to 28 through a unique merchandise mix, compelling store environment, social media and third-party digital platforms, websites and mobile applications and a product offering that includes women’s and men’s fashion apparel, activewear, intimates, footwear, accessories, home goods, electronics and beauty. A large portion of our merchandise is exclusive to Urban Outfitters, consisting of an assortment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products designed internally or designed in collaboration with third-party brands. Urban Outfitters stores are located in street locations in large metropolitan areas and select university communities, specialty centers and enclosed malls that accommodate our customers’ propensity not only to shop, but also to congregate with their peers. Urban Outfitters operates websites and mobile applications that capture the spirit of the brand by offering a similar yet broader selection of merchandise as found in its stores and sells merchandise through franchisee-owned stores in the Middle East. Urban Outfitters’ North American Retail segment net sales accounted for approximately 14.6% of total Retail segment net sales for the six months ended July 31, 2026, compared to approximately 15.2% for the comparable period in fiscal 2026. European Retail segment net sales accounted for approximately 10.5% of total Retail segment net sales for the six months ended July 31, 2026, compared to approximately 9.6% for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Menus &amp; Venues focuses on a dining and event experience that provides excellence in food, beverage and service. Menus &amp; Venues net sales accounted for less than 1.0% of total Retail segment net sales for both the six months ended July 31, 2026, and the comparable period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Store data for the six months ended July 31, 2026 was as follows:</w:t>
      </w:r>
    </w:p>
    <w:p>
      <w:pPr>
        <w:pStyle w:val="TextBody"/>
        <w:bidi w:val="0"/>
        <w:jc w:val="both"/>
        <w:rPr/>
      </w:pPr>
      <w:r>
        <w:rPr/>
        <w:t> </w:t>
      </w:r>
    </w:p>
    <w:tbl>
      <w:tblPr>
        <w:tblW w:w="7951" w:type="dxa"/>
        <w:jc w:val="left"/>
        <w:tblInd w:w="0" w:type="dxa"/>
        <w:tblLayout w:type="fixed"/>
        <w:tblCellMar>
          <w:top w:w="28" w:type="dxa"/>
          <w:left w:w="28" w:type="dxa"/>
          <w:bottom w:w="28" w:type="dxa"/>
          <w:right w:w="28" w:type="dxa"/>
        </w:tblCellMar>
      </w:tblPr>
      <w:tblGrid>
        <w:gridCol w:w="3391"/>
        <w:gridCol w:w="146"/>
        <w:gridCol w:w="254"/>
        <w:gridCol w:w="736"/>
        <w:gridCol w:w="146"/>
        <w:gridCol w:w="146"/>
        <w:gridCol w:w="194"/>
        <w:gridCol w:w="467"/>
        <w:gridCol w:w="146"/>
        <w:gridCol w:w="146"/>
        <w:gridCol w:w="172"/>
        <w:gridCol w:w="414"/>
        <w:gridCol w:w="166"/>
        <w:gridCol w:w="146"/>
        <w:gridCol w:w="177"/>
        <w:gridCol w:w="513"/>
        <w:gridCol w:w="5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Anthropologie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Anthropologie Group Global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FP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People 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People Brand Global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 xml:space="preserve">FP Movement Brand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FP Group Global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Urban Outfitters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Urban Outfitters Global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Menus &amp; Venues </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Franchisee-Owned Stores </w:t>
            </w:r>
            <w:r>
              <w:rPr>
                <w:rFonts w:ascii="Times New Roman" w:hAnsi="Times New Roman"/>
                <w:b/>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FP Movement brand stores are all located in North America.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Menus &amp; Venues includes various casual restaurants and event venues, all of which are located in North America.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Franchisee-owned stores are located in the Middle East.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square footage by brand as of July 31, 2026 and 2025 was as follows:</w:t>
      </w:r>
    </w:p>
    <w:p>
      <w:pPr>
        <w:pStyle w:val="TextBody"/>
        <w:bidi w:val="0"/>
        <w:jc w:val="both"/>
        <w:rPr/>
      </w:pPr>
      <w:r>
        <w:rPr/>
        <w:t> </w:t>
      </w:r>
    </w:p>
    <w:tbl>
      <w:tblPr>
        <w:tblW w:w="6612" w:type="dxa"/>
        <w:jc w:val="left"/>
        <w:tblInd w:w="0" w:type="dxa"/>
        <w:tblLayout w:type="fixed"/>
        <w:tblCellMar>
          <w:top w:w="28" w:type="dxa"/>
          <w:left w:w="28" w:type="dxa"/>
          <w:bottom w:w="28" w:type="dxa"/>
          <w:right w:w="28" w:type="dxa"/>
        </w:tblCellMar>
      </w:tblPr>
      <w:tblGrid>
        <w:gridCol w:w="3271"/>
        <w:gridCol w:w="146"/>
        <w:gridCol w:w="146"/>
        <w:gridCol w:w="571"/>
        <w:gridCol w:w="146"/>
        <w:gridCol w:w="146"/>
        <w:gridCol w:w="146"/>
        <w:gridCol w:w="571"/>
        <w:gridCol w:w="146"/>
        <w:gridCol w:w="146"/>
        <w:gridCol w:w="157"/>
        <w:gridCol w:w="504"/>
        <w:gridCol w:w="5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square footage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Anthropologie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Free People 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FP Movement Brand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Urban Outfitters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b/>
                <w:color w:val="000000"/>
                <w:sz w:val="20"/>
              </w:rPr>
              <w:t xml:space="preserve">Total URBN </w:t>
            </w:r>
            <w:r>
              <w:rPr>
                <w:rFonts w:ascii="Times New Roman" w:hAnsi="Times New Roman"/>
                <w:b/>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Menus &amp; Venues locations and franchisee-owned stores are not included in selling square footage.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plan for future store growth for our brands to come from expansion domestically and internationally, which may include opening stores in new and existing markets or entering into additional franchise agreements. We plan for future digital channel growth to come from expansion domestically and internationally.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Projected store openings and closings for fiscal 2027 are as follows:</w:t>
      </w:r>
    </w:p>
    <w:p>
      <w:pPr>
        <w:pStyle w:val="TextBody"/>
        <w:bidi w:val="0"/>
        <w:jc w:val="both"/>
        <w:rPr/>
      </w:pPr>
      <w:r>
        <w:rPr/>
        <w:t> </w:t>
      </w:r>
    </w:p>
    <w:tbl>
      <w:tblPr>
        <w:tblW w:w="7506" w:type="dxa"/>
        <w:jc w:val="left"/>
        <w:tblInd w:w="0" w:type="dxa"/>
        <w:tblLayout w:type="fixed"/>
        <w:tblCellMar>
          <w:top w:w="28" w:type="dxa"/>
          <w:left w:w="28" w:type="dxa"/>
          <w:bottom w:w="28" w:type="dxa"/>
          <w:right w:w="28" w:type="dxa"/>
        </w:tblCellMar>
      </w:tblPr>
      <w:tblGrid>
        <w:gridCol w:w="2671"/>
        <w:gridCol w:w="146"/>
        <w:gridCol w:w="254"/>
        <w:gridCol w:w="736"/>
        <w:gridCol w:w="146"/>
        <w:gridCol w:w="146"/>
        <w:gridCol w:w="240"/>
        <w:gridCol w:w="571"/>
        <w:gridCol w:w="146"/>
        <w:gridCol w:w="146"/>
        <w:gridCol w:w="226"/>
        <w:gridCol w:w="585"/>
        <w:gridCol w:w="166"/>
        <w:gridCol w:w="146"/>
        <w:gridCol w:w="254"/>
        <w:gridCol w:w="73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Projected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Projected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Anthropologie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People Brand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FP Movement 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Menus &amp; 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Franchisee-Owned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Subscription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Subscription segment includes the Nuuly brand, which is primarily a monthly women’s apparel subscription rental service. For a monthly fee, Nuuly subscribers can rent product from a wide selection of the Company’s own brands, third-party brands and one-of-a-kind vintage pieces via a custom-built digital platform. Subscribers select their products each month, wear them as often as they like and then swap into new products the following month. Subscribers are also able to purchase rental product in their possession that was delivered as part of the customer's monthly subscription rental order or through the Nuuly website or mobile application, which will ship along with their next monthly subscription rental order. Our Subscription segment net sales accounted for approximately 11.0% of consolidated net sales for the six months ended July 31, 2026, compared to approximately 9.3% for the comparable period in fiscal 2026.</w:t>
      </w:r>
    </w:p>
    <w:p>
      <w:pPr>
        <w:pStyle w:val="TextBody"/>
        <w:bidi w:val="0"/>
        <w:spacing w:before="360" w:after="283"/>
        <w:jc w:val="left"/>
        <w:rPr>
          <w:rFonts w:ascii="Times New Roman" w:hAnsi="Times New Roman"/>
          <w:sz w:val="20"/>
        </w:rPr>
      </w:pPr>
      <w:r>
        <w:rPr>
          <w:rFonts w:ascii="Times New Roman" w:hAnsi="Times New Roman"/>
          <w:i/>
          <w:color w:val="000000"/>
          <w:sz w:val="20"/>
        </w:rPr>
        <w:t>Wholesale Segment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Wholesale segment includes the FP Group and Urban Outfitters brand that sell through department and specialty stores worldwide, third-party digital businesses and our Retail segment. The Wholesale segment primarily designs, develops and markets young women’s contemporary casual apparel, intimates, FP Movement activewear and shoes under the FP Group brands and the BDG and “iets frans” apparel collections under the Urban Outfitters brand. Our Wholesale segment net sales accounted for approximately 5.9% of consolidated net sales for the six months ended July 31, 2026, compared to 5.3% for the comparable period in fiscal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generally accepted accounting principles in the United States. These generally accepted accounting principles require management to make estimates and assumptions that affect the reported amounts of assets, liabilities, net sales and expenses during the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significant accounting policies are described in Note 2, “Summary of Significant Accounting Policies,” in the Notes to our Consolidated Financial Statements for the fiscal year ended January 31, 2026, which are included in our Annual Report on Form 10-K filed with the SEC on April 1, 2026. Critical accounting policies are those that are most important to the portrayal of our financial condition, results of operations and cash flows and require management’s most difficult, subjective and complex judgments, often as a result of the need to make estimates about the effect of matters that are inherently uncertain. If actual results were to differ significantly from estimates made, the reported results could be materially affected. We are not currently aware of any reasonably likely events or circumstances that would cause our actual results to be materially different from our estimates. There have been no significant changes to our critical accounting policies during the six months ended July 31, 2026.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a Percentage of Net Sales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tables below set forth, for the periods indicated, certain income statement data and the percentage of our net sales represented by such data. The tables should be read in conjunction with the discussion that follows. </w:t>
      </w:r>
    </w:p>
    <w:p>
      <w:pPr>
        <w:pStyle w:val="TextBody"/>
        <w:bidi w:val="0"/>
        <w:jc w:val="center"/>
        <w:rPr>
          <w:rFonts w:ascii="Times New Roman" w:hAnsi="Times New Roman"/>
          <w:b/>
          <w:color w:val="000000"/>
          <w:sz w:val="20"/>
        </w:rPr>
      </w:pPr>
      <w:r>
        <w:rPr>
          <w:rFonts w:ascii="Times New Roman" w:hAnsi="Times New Roman"/>
          <w:b/>
          <w:color w:val="000000"/>
          <w:sz w:val="20"/>
        </w:rPr>
        <w:t>Three Months Ended July 31, 2026 (Fiscal 2027) Compared To</w:t>
      </w:r>
    </w:p>
    <w:p>
      <w:pPr>
        <w:pStyle w:val="TextBody"/>
        <w:bidi w:val="0"/>
        <w:jc w:val="center"/>
        <w:rPr>
          <w:rFonts w:ascii="Times New Roman" w:hAnsi="Times New Roman"/>
          <w:b/>
          <w:color w:val="000000"/>
          <w:sz w:val="20"/>
        </w:rPr>
      </w:pPr>
      <w:r>
        <w:rPr>
          <w:rFonts w:ascii="Times New Roman" w:hAnsi="Times New Roman"/>
          <w:b/>
          <w:color w:val="000000"/>
          <w:sz w:val="20"/>
        </w:rPr>
        <w:t>Three Months Ended July 31, 2025 (Fiscal 2026)</w:t>
      </w:r>
    </w:p>
    <w:p>
      <w:pPr>
        <w:pStyle w:val="TextBody"/>
        <w:bidi w:val="0"/>
        <w:jc w:val="center"/>
        <w:rPr/>
      </w:pPr>
      <w:r>
        <w:rPr/>
        <w:t> </w:t>
      </w:r>
    </w:p>
    <w:tbl>
      <w:tblPr>
        <w:tblW w:w="8763" w:type="dxa"/>
        <w:jc w:val="left"/>
        <w:tblInd w:w="0" w:type="dxa"/>
        <w:tblLayout w:type="fixed"/>
        <w:tblCellMar>
          <w:top w:w="28" w:type="dxa"/>
          <w:left w:w="28" w:type="dxa"/>
          <w:bottom w:w="28" w:type="dxa"/>
          <w:right w:w="28" w:type="dxa"/>
        </w:tblCellMar>
      </w:tblPr>
      <w:tblGrid>
        <w:gridCol w:w="3736"/>
        <w:gridCol w:w="211"/>
        <w:gridCol w:w="721"/>
        <w:gridCol w:w="146"/>
        <w:gridCol w:w="146"/>
        <w:gridCol w:w="146"/>
        <w:gridCol w:w="571"/>
        <w:gridCol w:w="146"/>
        <w:gridCol w:w="331"/>
        <w:gridCol w:w="146"/>
        <w:gridCol w:w="211"/>
        <w:gridCol w:w="721"/>
        <w:gridCol w:w="146"/>
        <w:gridCol w:w="146"/>
        <w:gridCol w:w="146"/>
        <w:gridCol w:w="571"/>
        <w:gridCol w:w="146"/>
        <w:gridCol w:w="376"/>
      </w:tblGrid>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(amounts in millions)</w:t>
            </w:r>
          </w:p>
        </w:tc>
        <w:tc>
          <w:tcPr>
            <w:tcW w:w="5027"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the second quarter of fiscal 2027 were $1.66 billion, compared to $1.50 billion in the second quarter of fiscal 2026. The $157.2 million increase was attributable to a $103.3 million, or 8.0%, increase in Retail segment net sales, a $39.7 million, or 28.6%, increase in Subscription segment net sales and a $14.2 million, or 18.6%, increase in Wholesale segment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in our Retail segment net sales during the second quarter of fiscal 2027 was due to an increase of $76.8 million, or 6.2%, in Retail segment comparable net sales and an increase of $26.5 million in non-comparable net sales. Retail segment comparable net sales increased 10.0% at FP Group, 8.4% at Urban Outfitters and 3.0% at Anthropologie Group. Retail segment comparable net sales increased in both Europe and North America. The overall increase in Retail segment comparable net sales was driven by high single-digit positive growth in digital channel net sales and mid single-digit positive growth in retail store net sales. The digital channel comparable net sales increase was driven by increases in sessions, average order value and units per transaction, while conversion rate decreased. Comparable store net sales increased as a result of higher store traffic and average unit retail, while transactions were flat and conversion rate and units per transaction decreased. The increase in non-comparable net sales during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second quarter of fiscal 2027 was primarily due to the impact of the 57 net new Company-owned stores opened since the prior comparable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Subscription segment net sales was primarily driven by a 30.4% increase in the average number of active subscribers in the second quarter of fiscal 2027 as compared to the second quarter of fiscal 2026. The increase in Wholesale segment net sales in the second quarter of fiscal 2027 was driven by a $14.0 million, or 19.2%, increase in FP Group wholesale net sales due to an increase in net sales to specialty customers and department stores.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percentage for the second quarter of fiscal 2027 increased by 580 basis points to 43.4% of net sales compared to 37.6% of net sales in the second quarter of fiscal 2026. Gross profit increased to $721.6 million in the second quarter of fiscal 2027 from $566.2 million in the second quarter of fiscal 2026. The increase in gross profit rate was due to a one-time benefit related to refunds for previously paid IEEPA tariffs of $95.7 million, or 576 basis points. The remaining increase of 4 basis points in gross profit rate was primarily due to leverage in store occupancy costs due to the increase in comparable Retail segment store net sales and leverage in delivery expense as a result of several company initiatives to offset fuel surcharges, partially offset by an increase in Retail segment markdowns driven by Anthropologie Group and the negative impacts of tariffs and inbound freight fuel surcharges on initial merchandise costs. The increase in gross profit dollars was primarily due to the IEEPA tariff refunds and higher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inventory at July 31, 2026, as compared to July 31, 2025, increased by $82.3 million, or 11.8%, to $778.5 million. Total Retail segment inventory increased 12.0% and Retail segment comparable inventory increased 8.4%. Wholesale segment inventory increased 10.0%. The increase in Retail segment inventory was due to the increase in net sales and timing of inventory receipts. The increase in Wholesale segment inventory was due to the increase in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expenses increased by $41.0 million, or 10.5%, in the second quarter of fiscal 2027 compared to the second quarter of fiscal 2026. Selling, general and administrative expenses were flat as a percentage of net sales in the second quarter of fiscal 2027 compared to the second quarter of fiscal 2026. The leverage in store payroll expenses due to the growth in Retail segment store net sales was offset by the deleverage in marketing expenses to support customer growth and increased net sales in the Retail and Subscription segments, along with increased artificial intelligence technology investments benefiting the Company's current and future operations. The dollar growth in selling, general and administrative expenses was primarily due to increased marketing expenses to support customer growth and increased net sales in the Retail and Subscription segments, as well as increased store payroll expenses to support the growth in Retail segment store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from operations was 17.4% of net sales, or $288.7 million, for the second quarter of fiscal 2027 compared to 11.6% of net sales, or $174.4 million, for the second quarter of fiscal 2026. The increase in operating income dollars was driven by the increase in gross profit dollars. The increase in operating income rate was driven by the increase in gross profit rate.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Our effective tax rate for the second quarter of fiscal 2027 was 19.4%, compared to 21.5% in the second quarter of fiscal 2026. The decrease in the effective tax rate for the second quarter of fiscal 2027 was primarily related to the release of a valuation allowance against certain foreign net deferred tax assets of $16.2 million, or 5.4%. The remaining change in the effective tax rate was primarily attributable to the ratio of foreign taxable earnings to global taxable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 Months Ended July 31, 2026 (Fiscal 2027) Compared To</w:t>
      </w:r>
    </w:p>
    <w:p>
      <w:pPr>
        <w:pStyle w:val="TextBody"/>
        <w:bidi w:val="0"/>
        <w:jc w:val="center"/>
        <w:rPr>
          <w:rFonts w:ascii="Times New Roman" w:hAnsi="Times New Roman"/>
          <w:b/>
          <w:color w:val="000000"/>
          <w:sz w:val="20"/>
        </w:rPr>
      </w:pPr>
      <w:r>
        <w:rPr>
          <w:rFonts w:ascii="Times New Roman" w:hAnsi="Times New Roman"/>
          <w:b/>
          <w:color w:val="000000"/>
          <w:sz w:val="20"/>
        </w:rPr>
        <w:t>Six Months Ended July 31, 2025 (Fiscal 2026)</w:t>
      </w:r>
    </w:p>
    <w:p>
      <w:pPr>
        <w:pStyle w:val="TextBody"/>
        <w:bidi w:val="0"/>
        <w:jc w:val="left"/>
        <w:rPr/>
      </w:pPr>
      <w:r>
        <w:rPr/>
        <w:t> </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3736"/>
        <w:gridCol w:w="211"/>
        <w:gridCol w:w="721"/>
        <w:gridCol w:w="146"/>
        <w:gridCol w:w="146"/>
        <w:gridCol w:w="146"/>
        <w:gridCol w:w="571"/>
        <w:gridCol w:w="146"/>
        <w:gridCol w:w="331"/>
        <w:gridCol w:w="146"/>
        <w:gridCol w:w="211"/>
        <w:gridCol w:w="721"/>
        <w:gridCol w:w="146"/>
        <w:gridCol w:w="146"/>
        <w:gridCol w:w="146"/>
        <w:gridCol w:w="571"/>
        <w:gridCol w:w="146"/>
        <w:gridCol w:w="376"/>
      </w:tblGrid>
      <w:tr>
        <w:trPr/>
        <w:tc>
          <w:tcPr>
            <w:tcW w:w="3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(amounts in millions)</w:t>
            </w:r>
          </w:p>
        </w:tc>
        <w:tc>
          <w:tcPr>
            <w:tcW w:w="5027"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the six months ended July 31, 2026 were $3.14 billion, compared to $2.83 billion in the comparable period of fiscal 2026. The $309.0 million increase was attributable to a $193.6 million, or 8.0%, increase in Retail segment net sales, a $82.6 million, or 31.4%, increase in Subscription segment net sales and a $32.8 million, or 21.7%, increase in Wholesale segment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our Retail segment net sales during the first six months of fiscal 2027 was due to an increase of $138.2 million, or 6.0%, in Retail segment comparable net sales and an increase of $55.4 million in non-comparable net sales. Retail segment comparable net sales increased 9.9% at FP Group, 8.8% at Urban Outfitters and 2.5% at Anthropologie Group. Retail segment comparable net sales increased in both Europe and North America. The overall increase in Retail segment comparable net sales was driven by high single-digit positive growth in digital channel net sales and mid single-digit positive growth in retail store net sales. The digital channel comparable net sales increase was driven by increases in sessions and average order value, while conversion rate and units per transaction decreased. Comparable store net sales increased as a result of higher store traffic, transactions and average unit retail, while conversion rate and units per transaction decreased. The increase in non-comparable net sales during the first six months of fiscal 2027 was primarily due to the impact of the 68 net new Company-owned stores opened since the prior comparable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Subscription segment net sales was primarily driven by a 31.8% increase in the average number of active subscribers in the first six months of fiscal 2027 as compared to the comparable period of fiscal 2026. The increase in Wholesale segment net sales in the first six months of fiscal 2027 was driven by a $32.3 million, or 22.6%, increase in FP Group wholesale net sales primarily due to an increase in net sales to specialty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percentage for the first six months of fiscal 2027 increased by 299 basis points to 40.2% of net sales compared to 37.2% of net sales in the comparable period of fiscal 2026. Gross profit increased to $1.26 billion in the first six months of fiscal 2027 from $1.06 billion in the comparable period of fiscal 2026. The increase in gross profit rate was due to a one-time benefit related to refunds for previously paid IEEPA tariffs of $95.7 million, or 305 basis points. The remaining decrease of 6 basis points in gross profit rate was primarily due to an increase in Retail segment markdowns driven by Anthropologie Group and the impact of a prior year gain of $4.8 million, or 17 basis points, not repeated in the current year period, partially offset by leverage in store occupancy costs due to the increase in comparable Retail segment store net sales. The increase in gross profit dollars was due to higher net sales and the IEEPA tariff refunds.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Selling, general and administrative expenses increased by $83.1 million, or 11.0%, in the first six months of fiscal 2027 compared to the comparable period of fiscal 2026. Selling, general and administrative expenses deleveraged 4 basis points as a percentage of net sales in the first six months of fiscal 2027 to 26.6% compared to the comparable period of fiscal 2026. The deleverage in selling, general and administrative expenses as a percentage of net sales was primarily related to deleverage in marketing expenses to support customer growth and increased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in the Retail and Subscription segments, along with increased artificial intelligence technology investments benefiting the Company's current and future operations. The deleverage was partially offset by a discrete benefit of $6.9 million, or 22 basis points, in the current year period resulting from the reversal of a litigation accrual, as well as leverage in store payroll expenses due to the growth in Retail segment store net sales. The dollar growth in selling, general and administrative expenses was primarily due to increased marketing expenses to support customer growth and increased net sales in the Retail and Subscription segments, increased store payroll expenses to support the growth in Retail segment store net sales and increased artificial intelligence technology investments benefiting the Company's current and future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from operations was 13.6% of net sales, or $428.4 million, for the first six months of fiscal 2027 compared to 10.7% of net sales, or $302.6 million, for the comparable period of fiscal 2026. The increase in operating income dollars was driven by the increase in gross profit dollars. The increase in operating income rate was driven by the increase in gross profit rate.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Our effective tax rate for the first six months of fiscal 2027 was 19.8%, compared to 21.5% in the first six months of fiscal 2026. The decrease in the effective tax rate for the first six months fiscal 2027 was primarily related to the release of a valuation allowance against certain foreign net deferred tax assets of $16.2 million, or 3.7%. The remaining change in the effective tax rate was primarily attributable to the ratio of foreign taxable earnings to global taxable earnings.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certain balance sheet and cash flow data for the periods indicated. These tables should be read in conjunction with the discussion that follows:</w:t>
      </w:r>
    </w:p>
    <w:p>
      <w:pPr>
        <w:pStyle w:val="TextBody"/>
        <w:bidi w:val="0"/>
        <w:spacing w:before="120" w:after="283"/>
        <w:jc w:val="left"/>
        <w:rPr/>
      </w:pPr>
      <w:r>
        <w:rPr/>
        <w:t> </w:t>
      </w:r>
    </w:p>
    <w:tbl>
      <w:tblPr>
        <w:tblW w:w="7541" w:type="dxa"/>
        <w:jc w:val="left"/>
        <w:tblInd w:w="0" w:type="dxa"/>
        <w:tblLayout w:type="fixed"/>
        <w:tblCellMar>
          <w:top w:w="28" w:type="dxa"/>
          <w:left w:w="28" w:type="dxa"/>
          <w:bottom w:w="28" w:type="dxa"/>
          <w:right w:w="28" w:type="dxa"/>
        </w:tblCellMar>
      </w:tblPr>
      <w:tblGrid>
        <w:gridCol w:w="4066"/>
        <w:gridCol w:w="146"/>
        <w:gridCol w:w="211"/>
        <w:gridCol w:w="571"/>
        <w:gridCol w:w="146"/>
        <w:gridCol w:w="146"/>
        <w:gridCol w:w="224"/>
        <w:gridCol w:w="766"/>
        <w:gridCol w:w="146"/>
        <w:gridCol w:w="146"/>
        <w:gridCol w:w="211"/>
        <w:gridCol w:w="57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(amounts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6554" w:type="dxa"/>
        <w:jc w:val="left"/>
        <w:tblInd w:w="0" w:type="dxa"/>
        <w:tblLayout w:type="fixed"/>
        <w:tblCellMar>
          <w:top w:w="28" w:type="dxa"/>
          <w:left w:w="28" w:type="dxa"/>
          <w:bottom w:w="28" w:type="dxa"/>
          <w:right w:w="28" w:type="dxa"/>
        </w:tblCellMar>
      </w:tblPr>
      <w:tblGrid>
        <w:gridCol w:w="4201"/>
        <w:gridCol w:w="146"/>
        <w:gridCol w:w="211"/>
        <w:gridCol w:w="631"/>
        <w:gridCol w:w="166"/>
        <w:gridCol w:w="146"/>
        <w:gridCol w:w="211"/>
        <w:gridCol w:w="63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working capital as of July 31, 2026, as compared to January 31, 2026, was primarily due to an increase in inventory. The increase in working capital as of July 31, 2026, as compared to July 31, 2025, was primarily due to a net increase in cash and cash equivalents and current marketable securities and an increase in inventory.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last two years, we have satisfied our cash requirements primarily through our cash flow from operating activities and through the sales and maturities of marketable securities. Our primary uses of cash have been to fund business operations, purchase inventory and rental product, repurchase our common shares, expand and improve our distribution network and open new stores.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recurring source of cash from operations was merchandise sales and our primary outflow of cash from operations was for the payment of operational costs. Cash provided by operating activities in the first six months of fiscal 2027 also benefited from the receipt of refunds for previously paid IEEPA tariffs which was a significant driver in the year-over-year increase in operating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in the first six months of fiscal 2027 and fiscal 2026 primarily related to the net sales and maturities of marketable securities which were primarily used to fund the repurchases of our common shares under our share repurchase program, partially offset by the purchases of property and equipment. Cash paid for property and equipment in the first six months of fiscal 2027 was $268.1 million, which was primarily used to expand and improve our distribution network including our purchase of the Nuuly fulfillment center in Raymore, Missouri in March 2026 that we previously leased, as well as expand our store base. Cash paid for property and equipment in the first six months of fiscal 2026 was $107.5 million, which was primarily used to expand our store base and distribution network.</w:t>
      </w:r>
    </w:p>
    <w:p>
      <w:pPr>
        <w:pStyle w:val="TextBody"/>
        <w:bidi w:val="0"/>
        <w:spacing w:before="360" w:after="283"/>
        <w:jc w:val="left"/>
        <w:rPr>
          <w:rFonts w:ascii="Times New Roman" w:hAnsi="Times New Roman"/>
          <w:sz w:val="20"/>
        </w:rPr>
      </w:pPr>
      <w:r>
        <w:rPr>
          <w:rFonts w:ascii="Times New Roman" w:hAnsi="Times New Roman"/>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in the first six months of fiscal 2027 and fiscal 2026 primarily related to repurchases of our common shares under our share repurchase program and from employees to meet payroll tax withholding requirements on vested share-based awards.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Credit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5, “Debt,” of the Notes to our Condensed Consolidated Financial Statements included in this Quarterly Report on Form 10-Q for additional information regarding the Company’s debt.</w:t>
      </w:r>
    </w:p>
    <w:p>
      <w:pPr>
        <w:pStyle w:val="TextBody"/>
        <w:bidi w:val="0"/>
        <w:spacing w:before="360" w:after="283"/>
        <w:jc w:val="left"/>
        <w:rPr>
          <w:rFonts w:ascii="Times New Roman" w:hAnsi="Times New Roman"/>
          <w:sz w:val="20"/>
        </w:rPr>
      </w:pPr>
      <w:r>
        <w:rPr>
          <w:rFonts w:ascii="Times New Roman" w:hAnsi="Times New Roman"/>
          <w:i/>
          <w:color w:val="000000"/>
          <w:sz w:val="20"/>
        </w:rPr>
        <w:t>Capital and Operating Expenditures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fiscal 2027, we plan to open approximately 54 new Company-owned retail locations, expand or relocate certain existing retail locations, expand our fulfillment center network, invest in logistics capabilities, expand our home office to support our growing business, invest in new products, markets and brands, purchase inventory and rental product for our operating segments at levels appropriate to maintain our planned sales volumes, upgrade our systems, invest in artificial intelligence, improve and expand our digital capabilities, invest in omni-channel marketing at appropriate levels and repurchase our common shares. We believe that our new brand initiatives, new store openings, merchandise expansion programs, international growth opportunities and our marketing, social media, website and mobile initiatives are significant contributors to our sales growth and plan to continue our investment in these initiatives for all brands. We anticipate our capital expenditures during fiscal 2027 to be approximately $475 million. All fiscal 2027 capital expenditures are expected to be financed by cash flow from operating activities and existing cash, cash equivalents and marketable securities. We believe that our new store investments generally have the potential to generate positive cash flow within a year. We may also enter into one or more acquisitions or transactions related to the expansion of our brand offerings, including additional franchise agreements. We believe that our existing cash, cash equivalents and marketable securities, availability under our current credit facility and future cash flows provided by operations will be sufficient to fund these initiatives.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8, “Shareholders’ Equity,” of the Notes to our Condensed Consolidated Financial Statements included in this Quarterly Report on Form 10-Q for additional information regarding the Company’s share repurchases.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 “Basis of Presentation,” </w:t>
      </w:r>
      <w:r>
        <w:rPr>
          <w:rFonts w:ascii="Times New Roman" w:hAnsi="Times New Roman"/>
          <w:i/>
          <w:color w:val="000000"/>
          <w:sz w:val="20"/>
        </w:rPr>
        <w:t>Recent Accounting Pronouncements</w:t>
      </w:r>
      <w:r>
        <w:rPr>
          <w:rFonts w:ascii="Times New Roman" w:hAnsi="Times New Roman"/>
          <w:color w:val="000000"/>
          <w:sz w:val="20"/>
        </w:rPr>
        <w:t xml:space="preserve">, of the Notes to our Condensed Consolidated Financial Statements included in this Quarterly Report on Form 10-Q for a description of recent accounting pronouncements. </w:t>
      </w:r>
    </w:p>
    <w:p>
      <w:pPr>
        <w:pStyle w:val="TextBody"/>
        <w:bidi w:val="0"/>
        <w:spacing w:before="360" w:after="283"/>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There have been no material changes to our quantitative or qualitative disclosures found in Item 7A, “Quantitative and Qualitative Disclosures About Market Risk,” in the Company’s Annual Report on Form 10-K for the fiscal year ended January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designed to ensure that information required to be disclosed by us in our Securities Exchange Act of 1934 reports is recorded, processed, summarized and reported on a timely basis and that such information is accumulated and communicated to management, including the Principal Executive Officer and the Principal Financial Officer, as appropriate, to allow timely decisions regarding the required disclosure. As of the end of the period covered by this Quarterly Report on Form 10-Q, an evaluation was performed under the supervision and with the participation of our management, including the Principal Executive Officer and the Principal Financial Officer, of the effectiveness of the design and operation of these disclosure controls and procedures. Based on that evaluation, the Principal Executive Officer and the Principal Financial Officer concluded that our disclosure controls and procedures were effective.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have been no changes in our internal controls over financial reporting during the three months ended July 31, 2026, that have materially affected, or are reasonably likely to materially affect, our internal controls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party to various legal proceedings arising from normal business activities. Management believes that the ultimate resolution of these matters will not have a material adverse effect on our financial position, results of operations or cash flows. </w:t>
      </w:r>
    </w:p>
    <w:p>
      <w:pPr>
        <w:pStyle w:val="TextBody"/>
        <w:bidi w:val="0"/>
        <w:spacing w:before="36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in our risk factors since January 31, 2026. Please refer to our Annual Report on Form 10-K for the fiscal year ended January 31, 2026, filed with the SEC on April 1, 2026, for our risk factors.</w:t>
      </w:r>
    </w:p>
    <w:p>
      <w:pPr>
        <w:pStyle w:val="TextBody"/>
        <w:bidi w:val="0"/>
        <w:spacing w:before="360" w:after="283"/>
        <w:jc w:val="both"/>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fiscal quarter ended July 31, 2026, no director or officer of the Company adopted or terminated a "Rule 10b5-1 trading arrangement" or a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item_6_exhibits"/>
      <w:bookmarkEnd w:id="18"/>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95"/>
        <w:gridCol w:w="290"/>
        <w:gridCol w:w="9020"/>
      </w:tblGrid>
      <w:tr>
        <w:trPr/>
        <w:tc>
          <w:tcPr>
            <w:tcW w:w="895"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9020" w:type="dxa"/>
            <w:tcBorders/>
            <w:shd w:fill="FFFFFF" w:val="clear"/>
            <w:vAlign w:val="center"/>
          </w:tcPr>
          <w:p>
            <w:pPr>
              <w:pStyle w:val="TableContents"/>
              <w:bidi w:val="0"/>
              <w:spacing w:before="0" w:after="283"/>
              <w:jc w:val="left"/>
              <w:rPr>
                <w:sz w:val="4"/>
                <w:szCs w:val="4"/>
              </w:rPr>
            </w:pPr>
            <w:r>
              <w:rPr>
                <w:sz w:val="4"/>
                <w:szCs w:val="4"/>
              </w:rPr>
            </w:r>
          </w:p>
        </w:tc>
      </w:tr>
      <w:tr>
        <w:trPr/>
        <w:tc>
          <w:tcPr>
            <w:tcW w:w="89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Number</w:t>
            </w:r>
          </w:p>
        </w:tc>
        <w:tc>
          <w:tcPr>
            <w:tcW w:w="2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2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u w:val="single"/>
              </w:rPr>
            </w:pPr>
            <w:r>
              <w:rPr>
                <w:rFonts w:ascii="Times New Roman" w:hAnsi="Times New Roman"/>
                <w:b/>
                <w:color w:val="000000"/>
                <w:sz w:val="16"/>
                <w:u w:val="single"/>
              </w:rPr>
              <w:t>Description</w:t>
            </w:r>
          </w:p>
          <w:p>
            <w:pPr>
              <w:pStyle w:val="TableContents"/>
              <w:bidi w:val="0"/>
              <w:spacing w:before="0" w:after="283"/>
              <w:jc w:val="left"/>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2">
              <w:r>
                <w:rPr>
                  <w:rStyle w:val="InternetLink"/>
                  <w:rFonts w:ascii="Times New Roman" w:hAnsi="Times New Roman"/>
                  <w:color w:val="0000FF"/>
                  <w:sz w:val="20"/>
                  <w:u w:val="single"/>
                </w:rPr>
                <w:t>Amended and Restated Articles of Incorporation are incorporated by reference to Exhibit 3.1 of the Company’s Quarterly Report on Form 10-Q (file no. 000-22754) filed on September 9, 2004.</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3">
              <w:r>
                <w:rPr>
                  <w:rStyle w:val="InternetLink"/>
                  <w:rFonts w:ascii="Times New Roman" w:hAnsi="Times New Roman"/>
                  <w:color w:val="0000FF"/>
                  <w:sz w:val="20"/>
                  <w:u w:val="single"/>
                </w:rPr>
                <w:t>Amendment No. 1 to Amended and Restated Articles of Incorporation is incorporated by reference to Exhibit 3.2 of the Company’s Quarterly Report on Form 10-Q (file no. 000-22754) filed on September 9, 2004.</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3.3</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4">
              <w:r>
                <w:rPr>
                  <w:rStyle w:val="InternetLink"/>
                  <w:rFonts w:ascii="Times New Roman" w:hAnsi="Times New Roman"/>
                  <w:color w:val="0000FF"/>
                  <w:sz w:val="20"/>
                  <w:u w:val="single"/>
                </w:rPr>
                <w:t>Amendment No. 2 to Amended and Restated Articles of Incorporation is incorporated by reference to Exhibit 3.1 of the Company’s Current Report on Form 8-K (file no. 000-22754) filed on May 31, 2013.</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5">
              <w:r>
                <w:rPr>
                  <w:rStyle w:val="InternetLink"/>
                  <w:rFonts w:ascii="Times New Roman" w:hAnsi="Times New Roman"/>
                  <w:color w:val="0000FF"/>
                  <w:sz w:val="20"/>
                  <w:u w:val="single"/>
                </w:rPr>
                <w:t>Amended and Restated By-laws are incorporated by reference to Exhibit 3.1 of the Company’s Current Report on Form 8-K (file no. 000-22754) filed on March 30, 2020.</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1_1.htm">
              <w:r>
                <w:rPr>
                  <w:rStyle w:val="InternetLink"/>
                  <w:rFonts w:ascii="Times New Roman" w:hAnsi="Times New Roman"/>
                  <w:color w:val="0000FF"/>
                  <w:sz w:val="20"/>
                  <w:u w:val="single"/>
                </w:rPr>
                <w:t>Rule 13a-14(a)/15d-14(a) Certification of the Principal Executive Officer.</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1_2.htm">
              <w:r>
                <w:rPr>
                  <w:rStyle w:val="InternetLink"/>
                  <w:rFonts w:ascii="Times New Roman" w:hAnsi="Times New Roman"/>
                  <w:color w:val="0000FF"/>
                  <w:sz w:val="20"/>
                  <w:u w:val="single"/>
                </w:rPr>
                <w:t>Rule 13a-14(a)/15d-14(a) Certification of the Principal Financial Officer.</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32.1**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2_1.htm">
              <w:r>
                <w:rPr>
                  <w:rStyle w:val="InternetLink"/>
                  <w:rFonts w:ascii="Times New Roman" w:hAnsi="Times New Roman"/>
                  <w:color w:val="0000FF"/>
                  <w:sz w:val="20"/>
                  <w:u w:val="single"/>
                </w:rPr>
                <w:t>Section 1350 Certification of the Principal Executive Officer.</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32.2**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urbn-ex32_2.htm">
              <w:r>
                <w:rPr>
                  <w:rStyle w:val="InternetLink"/>
                  <w:rFonts w:ascii="Times New Roman" w:hAnsi="Times New Roman"/>
                  <w:color w:val="0000FF"/>
                  <w:sz w:val="20"/>
                  <w:u w:val="single"/>
                </w:rPr>
                <w:t>Section 1350 Certification of the Principal Financial Officer.</w:t>
              </w:r>
            </w:hyperlink>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Inline XBRL Instance Document.</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r>
      <w:tr>
        <w:trPr/>
        <w:tc>
          <w:tcPr>
            <w:tcW w:w="895"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0"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both"/>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Attached as Exhibits 101 to this report are the following financial statements from the Company’s Quarterly Report on Form 10-Q for the three and six months ended July 31, 2026, filed with the Securities and Exchange Commission on September 9, 2026, formatted in inline XBRL (eXtensible Business Reporting Language): (i) the Condensed Consolidated Balance Sheets; (ii) the Condensed Consolidated Statements of Income; (iii) the Condensed Consolidated Statements of Comprehensive Income; (iv) the Condensed Consolidated Statements of Shareholders’ Equity; (v) the Condensed Consolidated Statements of Cash Flows and (vi) the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012" w:type="dxa"/>
        <w:jc w:val="left"/>
        <w:tblInd w:w="0" w:type="dxa"/>
        <w:tblLayout w:type="fixed"/>
        <w:tblCellMar>
          <w:top w:w="28" w:type="dxa"/>
          <w:left w:w="28" w:type="dxa"/>
          <w:bottom w:w="28" w:type="dxa"/>
          <w:right w:w="28" w:type="dxa"/>
        </w:tblCellMar>
      </w:tblPr>
      <w:tblGrid>
        <w:gridCol w:w="2116"/>
        <w:gridCol w:w="406"/>
        <w:gridCol w:w="177"/>
        <w:gridCol w:w="2313"/>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3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5"/>
              </w:rPr>
              <w:t>ICHARD</w:t>
            </w:r>
            <w:r>
              <w:rPr>
                <w:rFonts w:ascii="Times New Roman" w:hAnsi="Times New Roman"/>
                <w:color w:val="000000"/>
                <w:sz w:val="20"/>
              </w:rPr>
              <w:t> A. H</w:t>
            </w:r>
            <w:r>
              <w:rPr>
                <w:rFonts w:ascii="Times New Roman" w:hAnsi="Times New Roman"/>
                <w:color w:val="000000"/>
                <w:sz w:val="15"/>
              </w:rPr>
              <w:t>AYNE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Richard A. Hayne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Executive Officer</w:t>
            </w:r>
          </w:p>
        </w:tc>
      </w:tr>
    </w:tbl>
    <w:tbl>
      <w:tblPr>
        <w:tblW w:w="5024" w:type="dxa"/>
        <w:jc w:val="left"/>
        <w:tblInd w:w="0" w:type="dxa"/>
        <w:tblLayout w:type="fixed"/>
        <w:tblCellMar>
          <w:top w:w="28" w:type="dxa"/>
          <w:left w:w="28" w:type="dxa"/>
          <w:bottom w:w="28" w:type="dxa"/>
          <w:right w:w="28" w:type="dxa"/>
        </w:tblCellMar>
      </w:tblPr>
      <w:tblGrid>
        <w:gridCol w:w="2116"/>
        <w:gridCol w:w="406"/>
        <w:gridCol w:w="146"/>
        <w:gridCol w:w="2356"/>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5"/>
              </w:rPr>
              <w:t xml:space="preserve">ELANIE </w:t>
            </w:r>
            <w:r>
              <w:rPr>
                <w:rFonts w:ascii="Times New Roman" w:hAnsi="Times New Roman"/>
                <w:color w:val="000000"/>
                <w:sz w:val="20"/>
              </w:rPr>
              <w:t>M</w:t>
            </w:r>
            <w:r>
              <w:rPr>
                <w:rFonts w:ascii="Times New Roman" w:hAnsi="Times New Roman"/>
                <w:color w:val="000000"/>
                <w:sz w:val="15"/>
              </w:rPr>
              <w:t>AREIN</w:t>
            </w:r>
            <w:r>
              <w:rPr>
                <w:rFonts w:ascii="Times New Roman" w:hAnsi="Times New Roman"/>
                <w:color w:val="000000"/>
                <w:sz w:val="20"/>
              </w:rPr>
              <w:t>-E</w:t>
            </w:r>
            <w:r>
              <w:rPr>
                <w:rFonts w:ascii="Times New Roman" w:hAnsi="Times New Roman"/>
                <w:color w:val="000000"/>
                <w:sz w:val="15"/>
              </w:rPr>
              <w:t>FRON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Melanie Marein-Efron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bookmarkStart w:id="20" w:name="urbn-ex31_1.htm"/>
      <w:bookmarkStart w:id="21" w:name="ksurbnex31_1"/>
      <w:bookmarkEnd w:id="20"/>
      <w:bookmarkEnd w:id="2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A. Hayne,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Urban Outfitters,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919" w:type="dxa"/>
        <w:jc w:val="left"/>
        <w:tblInd w:w="0" w:type="dxa"/>
        <w:tblLayout w:type="fixed"/>
        <w:tblCellMar>
          <w:top w:w="28" w:type="dxa"/>
          <w:left w:w="28" w:type="dxa"/>
          <w:bottom w:w="28" w:type="dxa"/>
          <w:right w:w="28" w:type="dxa"/>
        </w:tblCellMar>
      </w:tblPr>
      <w:tblGrid>
        <w:gridCol w:w="2116"/>
        <w:gridCol w:w="406"/>
        <w:gridCol w:w="146"/>
        <w:gridCol w:w="225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5"/>
              </w:rPr>
              <w:t>ICHARD</w:t>
            </w:r>
            <w:r>
              <w:rPr>
                <w:rFonts w:ascii="Times New Roman" w:hAnsi="Times New Roman"/>
                <w:color w:val="000000"/>
                <w:sz w:val="20"/>
              </w:rPr>
              <w:t> A. H</w:t>
            </w:r>
            <w:r>
              <w:rPr>
                <w:rFonts w:ascii="Times New Roman" w:hAnsi="Times New Roman"/>
                <w:color w:val="000000"/>
                <w:sz w:val="15"/>
              </w:rPr>
              <w:t>AYNE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Richard A. Hayne</w:t>
            </w:r>
          </w:p>
          <w:p>
            <w:pPr>
              <w:pStyle w:val="TableContents"/>
              <w:bidi w:val="0"/>
              <w:jc w:val="center"/>
              <w:rPr>
                <w:rFonts w:ascii="Times New Roman" w:hAnsi="Times New Roman"/>
                <w:b/>
                <w:color w:val="000000"/>
                <w:sz w:val="16"/>
              </w:rPr>
            </w:pPr>
            <w:r>
              <w:rPr>
                <w:rFonts w:ascii="Times New Roman" w:hAnsi="Times New Roman"/>
                <w:b/>
                <w:color w:val="000000"/>
                <w:sz w:val="16"/>
              </w:rPr>
              <w:t>Chief Executive Officer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urbn-ex31_2.htm"/>
      <w:bookmarkStart w:id="23" w:name="ksurbnex31_2"/>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Melanie Marein-Efron,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Urban Outfitters,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009" w:type="dxa"/>
        <w:jc w:val="left"/>
        <w:tblInd w:w="0" w:type="dxa"/>
        <w:tblLayout w:type="fixed"/>
        <w:tblCellMar>
          <w:top w:w="28" w:type="dxa"/>
          <w:left w:w="28" w:type="dxa"/>
          <w:bottom w:w="28" w:type="dxa"/>
          <w:right w:w="28" w:type="dxa"/>
        </w:tblCellMar>
      </w:tblPr>
      <w:tblGrid>
        <w:gridCol w:w="2116"/>
        <w:gridCol w:w="406"/>
        <w:gridCol w:w="146"/>
        <w:gridCol w:w="234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5"/>
              </w:rPr>
              <w:t>ELANIE</w:t>
            </w:r>
            <w:r>
              <w:rPr>
                <w:rFonts w:ascii="Times New Roman" w:hAnsi="Times New Roman"/>
                <w:color w:val="000000"/>
                <w:sz w:val="20"/>
              </w:rPr>
              <w:t> M</w:t>
            </w:r>
            <w:r>
              <w:rPr>
                <w:rFonts w:ascii="Times New Roman" w:hAnsi="Times New Roman"/>
                <w:color w:val="000000"/>
                <w:sz w:val="15"/>
              </w:rPr>
              <w:t>AREIN-</w:t>
            </w:r>
            <w:r>
              <w:rPr>
                <w:rFonts w:ascii="Times New Roman" w:hAnsi="Times New Roman"/>
                <w:color w:val="000000"/>
                <w:sz w:val="20"/>
              </w:rPr>
              <w:t>E</w:t>
            </w:r>
            <w:r>
              <w:rPr>
                <w:rFonts w:ascii="Times New Roman" w:hAnsi="Times New Roman"/>
                <w:color w:val="000000"/>
                <w:sz w:val="15"/>
              </w:rPr>
              <w:t>FRON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Melanie Marein-Efron</w:t>
            </w:r>
          </w:p>
          <w:p>
            <w:pPr>
              <w:pStyle w:val="TableContents"/>
              <w:bidi w:val="0"/>
              <w:jc w:val="center"/>
              <w:rPr>
                <w:rFonts w:ascii="Times New Roman" w:hAnsi="Times New Roman"/>
                <w:b/>
                <w:color w:val="000000"/>
                <w:sz w:val="16"/>
              </w:rPr>
            </w:pPr>
            <w:r>
              <w:rPr>
                <w:rFonts w:ascii="Times New Roman" w:hAnsi="Times New Roman"/>
                <w:b/>
                <w:color w:val="000000"/>
                <w:sz w:val="16"/>
              </w:rPr>
              <w:t>Chief Financial Officer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urbn-ex32_1.htm"/>
      <w:bookmarkStart w:id="25" w:name="ksurbnex32_1"/>
      <w:bookmarkEnd w:id="24"/>
      <w:bookmarkEnd w:id="2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A. Hayne, hereby certify, pursuant to 18 U.S.C. Section 1350, as adopted pursuant to Section 906 of the Sarbanes-Oxley Act of 2002, that (1) the Form 10-Q of Urban Outfitters, Inc. (the “Company”) for the three month period ended July 31, 2026, as filed with the Securities and Exchange Commission (the “Form 10-Q”), fully complies with the requirements of Section 13(a) or 15(d) of the Securities Exchange Act of 1934 (15 U.S.C. 78m or 78o(d)); and (2) the information contained in the Form 10-Q fairly presents, in all material respects, the financial condition and results of operations of the Company. </w:t>
      </w:r>
    </w:p>
    <w:tbl>
      <w:tblPr>
        <w:tblW w:w="4882" w:type="dxa"/>
        <w:jc w:val="left"/>
        <w:tblInd w:w="0" w:type="dxa"/>
        <w:tblLayout w:type="fixed"/>
        <w:tblCellMar>
          <w:top w:w="28" w:type="dxa"/>
          <w:left w:w="28" w:type="dxa"/>
          <w:bottom w:w="28" w:type="dxa"/>
          <w:right w:w="28" w:type="dxa"/>
        </w:tblCellMar>
      </w:tblPr>
      <w:tblGrid>
        <w:gridCol w:w="2116"/>
        <w:gridCol w:w="109"/>
        <w:gridCol w:w="406"/>
        <w:gridCol w:w="225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R</w:t>
            </w:r>
            <w:r>
              <w:rPr>
                <w:rFonts w:ascii="Times New Roman" w:hAnsi="Times New Roman"/>
                <w:color w:val="000000"/>
                <w:sz w:val="15"/>
              </w:rPr>
              <w:t>ICHARD</w:t>
            </w:r>
            <w:r>
              <w:rPr>
                <w:rFonts w:ascii="Times New Roman" w:hAnsi="Times New Roman"/>
                <w:color w:val="000000"/>
                <w:sz w:val="20"/>
              </w:rPr>
              <w:t> A. H</w:t>
            </w:r>
            <w:r>
              <w:rPr>
                <w:rFonts w:ascii="Times New Roman" w:hAnsi="Times New Roman"/>
                <w:color w:val="000000"/>
                <w:sz w:val="15"/>
              </w:rPr>
              <w:t>AYNE</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Richard A. Hayne</w:t>
            </w:r>
          </w:p>
          <w:p>
            <w:pPr>
              <w:pStyle w:val="TableContents"/>
              <w:bidi w:val="0"/>
              <w:jc w:val="center"/>
              <w:rPr>
                <w:rFonts w:ascii="Times New Roman" w:hAnsi="Times New Roman"/>
                <w:b/>
                <w:color w:val="000000"/>
                <w:sz w:val="16"/>
              </w:rPr>
            </w:pPr>
            <w:r>
              <w:rPr>
                <w:rFonts w:ascii="Times New Roman" w:hAnsi="Times New Roman"/>
                <w:b/>
                <w:color w:val="000000"/>
                <w:sz w:val="16"/>
              </w:rPr>
              <w:t>Chief Executive Officer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urbn-ex32_2.htm"/>
      <w:bookmarkStart w:id="27" w:name="ksurbnex32_2"/>
      <w:bookmarkEnd w:id="26"/>
      <w:bookmarkEnd w:id="27"/>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Melanie Marein-Efron, hereby certify, pursuant to 18 U.S.C. Section 1350, as adopted pursuant to Section 906 of the Sarbanes-Oxley Act of 2002, that (1) the Form 10-Q of Urban Outfitters, Inc. (the “Company”) for the three month period ended July 31, 2026, as filed with the Securities and Exchange Commission (the “Form 10-Q”), fully complies with the requirements of Section 13(a) or 15(d) of the Securities Exchange Act of 1934 (15 U.S.C. 78m or 78o(d)); and (2) the information contained in the Form 10-Q fairly presents, in all material respects, the financial condition and results of operations of the Company. </w:t>
      </w:r>
    </w:p>
    <w:tbl>
      <w:tblPr>
        <w:tblW w:w="4972" w:type="dxa"/>
        <w:jc w:val="left"/>
        <w:tblInd w:w="0" w:type="dxa"/>
        <w:tblLayout w:type="fixed"/>
        <w:tblCellMar>
          <w:top w:w="28" w:type="dxa"/>
          <w:left w:w="28" w:type="dxa"/>
          <w:bottom w:w="28" w:type="dxa"/>
          <w:right w:w="28" w:type="dxa"/>
        </w:tblCellMar>
      </w:tblPr>
      <w:tblGrid>
        <w:gridCol w:w="2116"/>
        <w:gridCol w:w="109"/>
        <w:gridCol w:w="406"/>
        <w:gridCol w:w="234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M</w:t>
            </w:r>
            <w:r>
              <w:rPr>
                <w:rFonts w:ascii="Times New Roman" w:hAnsi="Times New Roman"/>
                <w:color w:val="000000"/>
                <w:sz w:val="15"/>
              </w:rPr>
              <w:t>ELANIE</w:t>
            </w:r>
            <w:r>
              <w:rPr>
                <w:rFonts w:ascii="Times New Roman" w:hAnsi="Times New Roman"/>
                <w:color w:val="000000"/>
                <w:sz w:val="20"/>
              </w:rPr>
              <w:t> M</w:t>
            </w:r>
            <w:r>
              <w:rPr>
                <w:rFonts w:ascii="Times New Roman" w:hAnsi="Times New Roman"/>
                <w:color w:val="000000"/>
                <w:sz w:val="15"/>
              </w:rPr>
              <w:t>AREIN-</w:t>
            </w:r>
            <w:r>
              <w:rPr>
                <w:rFonts w:ascii="Times New Roman" w:hAnsi="Times New Roman"/>
                <w:color w:val="000000"/>
                <w:sz w:val="20"/>
              </w:rPr>
              <w:t>E</w:t>
            </w:r>
            <w:r>
              <w:rPr>
                <w:rFonts w:ascii="Times New Roman" w:hAnsi="Times New Roman"/>
                <w:color w:val="000000"/>
                <w:sz w:val="15"/>
              </w:rPr>
              <w:t>FRON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Melanie Marein-Efron</w:t>
            </w:r>
          </w:p>
          <w:p>
            <w:pPr>
              <w:pStyle w:val="TableContents"/>
              <w:bidi w:val="0"/>
              <w:jc w:val="center"/>
              <w:rPr>
                <w:rFonts w:ascii="Times New Roman" w:hAnsi="Times New Roman"/>
                <w:b/>
                <w:color w:val="000000"/>
                <w:sz w:val="16"/>
              </w:rPr>
            </w:pPr>
            <w:r>
              <w:rPr>
                <w:rFonts w:ascii="Times New Roman" w:hAnsi="Times New Roman"/>
                <w:b/>
                <w:color w:val="000000"/>
                <w:sz w:val="16"/>
              </w:rPr>
              <w:t>Chief Financial Officer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2615/000119312504154375/dex31.htm" TargetMode="External"/><Relationship Id="rId3" Type="http://schemas.openxmlformats.org/officeDocument/2006/relationships/hyperlink" Target="https://www.sec.gov/Archives/edgar/data/912615/000119312504154375/dex32.htm" TargetMode="External"/><Relationship Id="rId4" Type="http://schemas.openxmlformats.org/officeDocument/2006/relationships/hyperlink" Target="https://www.sec.gov/Archives/edgar/data/912615/000119312513243348/d547735dex31.htm" TargetMode="External"/><Relationship Id="rId5" Type="http://schemas.openxmlformats.org/officeDocument/2006/relationships/hyperlink" Target="https://www.sec.gov/Archives/edgar/data/912615/000156459020014285/urbn-ex31_6.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15439</Words>
  <Characters>84916</Characters>
  <CharactersWithSpaces>102887</CharactersWithSpaces>
  <Paragraphs>7589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