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rbn-20260826.htm"/>
      <w:bookmarkStart w:id="1" w:name="ksurbn20260826"/>
      <w:bookmarkEnd w:id="0"/>
      <w:bookmarkEnd w:id="1"/>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August 26, 2026</w:t>
      </w:r>
    </w:p>
    <w:p>
      <w:pPr>
        <w:pStyle w:val="TextBody"/>
        <w:bidi w:val="0"/>
        <w:spacing w:before="200" w:after="283"/>
        <w:jc w:val="center"/>
        <w:rPr>
          <w:rFonts w:ascii="Times New Roman" w:hAnsi="Times New Roman"/>
          <w:b/>
          <w:color w:val="000000"/>
          <w:sz w:val="48"/>
        </w:rPr>
      </w:pPr>
      <w:bookmarkStart w:id="2" w:name="fis_unidentified_table"/>
      <w:bookmarkEnd w:id="2"/>
      <w:r>
        <w:rPr>
          <w:rFonts w:ascii="Times New Roman" w:hAnsi="Times New Roman"/>
          <w:b/>
          <w:color w:val="000000"/>
          <w:sz w:val="48"/>
        </w:rPr>
        <w:t>URBAN OUTFITTERS,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336" w:type="dxa"/>
        <w:jc w:val="left"/>
        <w:tblInd w:w="0" w:type="dxa"/>
        <w:tblLayout w:type="fixed"/>
        <w:tblCellMar>
          <w:top w:w="28" w:type="dxa"/>
          <w:left w:w="28" w:type="dxa"/>
          <w:bottom w:w="28" w:type="dxa"/>
          <w:right w:w="28" w:type="dxa"/>
        </w:tblCellMar>
      </w:tblPr>
      <w:tblGrid>
        <w:gridCol w:w="2337"/>
        <w:gridCol w:w="164"/>
        <w:gridCol w:w="1203"/>
        <w:gridCol w:w="146"/>
        <w:gridCol w:w="1486"/>
      </w:tblGrid>
      <w:tr>
        <w:trPr/>
        <w:tc>
          <w:tcPr>
            <w:tcW w:w="23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Pennsylvania</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000-22754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23-2003332</w:t>
            </w:r>
          </w:p>
        </w:tc>
      </w:tr>
      <w:tr>
        <w:trPr/>
        <w:tc>
          <w:tcPr>
            <w:tcW w:w="23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5000 South Broad Street, Philadelphia, PA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19112</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(215)</w:t>
      </w:r>
      <w:r>
        <w:rPr>
          <w:rFonts w:ascii="Times New Roman" w:hAnsi="Times New Roman"/>
          <w:color w:val="000000"/>
          <w:sz w:val="20"/>
        </w:rPr>
        <w:t xml:space="preserve"> </w:t>
      </w:r>
      <w:r>
        <w:rPr>
          <w:rFonts w:ascii="Times New Roman" w:hAnsi="Times New Roman"/>
          <w:b/>
          <w:color w:val="000000"/>
          <w:sz w:val="20"/>
        </w:rPr>
        <w:t>454-5500</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467" w:type="dxa"/>
        <w:jc w:val="left"/>
        <w:tblInd w:w="0" w:type="dxa"/>
        <w:tblLayout w:type="fixed"/>
        <w:tblCellMar>
          <w:top w:w="28" w:type="dxa"/>
          <w:left w:w="28" w:type="dxa"/>
          <w:bottom w:w="28" w:type="dxa"/>
          <w:right w:w="28" w:type="dxa"/>
        </w:tblCellMar>
      </w:tblPr>
      <w:tblGrid>
        <w:gridCol w:w="331"/>
        <w:gridCol w:w="9136"/>
      </w:tblGrid>
      <w:tr>
        <w:trPr/>
        <w:tc>
          <w:tcPr>
            <w:tcW w:w="331" w:type="dxa"/>
            <w:tcBorders/>
            <w:vAlign w:val="center"/>
          </w:tcPr>
          <w:p>
            <w:pPr>
              <w:pStyle w:val="TableContents"/>
              <w:bidi w:val="0"/>
              <w:spacing w:before="0" w:after="283"/>
              <w:jc w:val="left"/>
              <w:rPr>
                <w:sz w:val="4"/>
                <w:szCs w:val="4"/>
              </w:rPr>
            </w:pPr>
            <w:r>
              <w:rPr>
                <w:sz w:val="4"/>
                <w:szCs w:val="4"/>
              </w:rPr>
            </w:r>
          </w:p>
        </w:tc>
        <w:tc>
          <w:tcPr>
            <w:tcW w:w="91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725" w:type="dxa"/>
        <w:jc w:val="left"/>
        <w:tblInd w:w="0" w:type="dxa"/>
        <w:tblLayout w:type="fixed"/>
        <w:tblCellMar>
          <w:top w:w="28" w:type="dxa"/>
          <w:left w:w="28" w:type="dxa"/>
          <w:bottom w:w="28" w:type="dxa"/>
          <w:right w:w="28" w:type="dxa"/>
        </w:tblCellMar>
      </w:tblPr>
      <w:tblGrid>
        <w:gridCol w:w="3661"/>
        <w:gridCol w:w="146"/>
        <w:gridCol w:w="1456"/>
        <w:gridCol w:w="146"/>
        <w:gridCol w:w="331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6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pPr>
            <w:r>
              <w:rPr/>
              <w:t> </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par value $.0001 per share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URBN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l2b-2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bookmarkStart w:id="3" w:name="fis_section_8_other_events"/>
      <w:bookmarkStart w:id="4" w:name="fis_other_events"/>
      <w:bookmarkEnd w:id="3"/>
      <w:bookmarkEnd w:id="4"/>
      <w:r>
        <w:rPr/>
        <w:t> </w:t>
      </w:r>
    </w:p>
    <w:tbl>
      <w:tblPr>
        <w:tblW w:w="2222" w:type="dxa"/>
        <w:jc w:val="left"/>
        <w:tblInd w:w="0" w:type="dxa"/>
        <w:tblLayout w:type="fixed"/>
        <w:tblCellMar>
          <w:top w:w="28" w:type="dxa"/>
          <w:left w:w="28" w:type="dxa"/>
          <w:bottom w:w="28" w:type="dxa"/>
          <w:right w:w="28" w:type="dxa"/>
        </w:tblCellMar>
      </w:tblPr>
      <w:tblGrid>
        <w:gridCol w:w="961"/>
        <w:gridCol w:w="1261"/>
      </w:tblGrid>
      <w:tr>
        <w:trPr/>
        <w:tc>
          <w:tcPr>
            <w:tcW w:w="9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26, 2026, Urban Outfitters, Inc. (the “Company”) issued an earnings release, which is attached hereto as Exhibit 99.1 and incorporated herein by reference. The earnings release disclosed material non-public information regarding the Company’s earnings for the three and six months ended July 31, 2026.</w:t>
      </w:r>
    </w:p>
    <w:p>
      <w:pPr>
        <w:pStyle w:val="Normal"/>
        <w:bidi w:val="0"/>
        <w:spacing w:before="0" w:after="0"/>
        <w:jc w:val="left"/>
        <w:rPr>
          <w:sz w:val="4"/>
          <w:szCs w:val="4"/>
        </w:rPr>
      </w:pPr>
      <w:r>
        <w:rPr>
          <w:sz w:val="4"/>
          <w:szCs w:val="4"/>
        </w:rPr>
      </w:r>
      <w:bookmarkStart w:id="5" w:name="fis_financial_statements_and_exhibits"/>
      <w:bookmarkStart w:id="6" w:name="fis_section_9_financial_statements_and_e"/>
      <w:bookmarkStart w:id="7" w:name="fis_financial_statements_and_exhibits"/>
      <w:bookmarkStart w:id="8" w:name="fis_section_9_financial_statements_and_e"/>
      <w:bookmarkEnd w:id="7"/>
      <w:bookmarkEnd w:id="8"/>
    </w:p>
    <w:tbl>
      <w:tblPr>
        <w:tblW w:w="3992" w:type="dxa"/>
        <w:jc w:val="left"/>
        <w:tblInd w:w="0" w:type="dxa"/>
        <w:tblLayout w:type="fixed"/>
        <w:tblCellMar>
          <w:top w:w="28" w:type="dxa"/>
          <w:left w:w="28" w:type="dxa"/>
          <w:bottom w:w="28" w:type="dxa"/>
          <w:right w:w="28" w:type="dxa"/>
        </w:tblCellMar>
      </w:tblPr>
      <w:tblGrid>
        <w:gridCol w:w="961"/>
        <w:gridCol w:w="3031"/>
      </w:tblGrid>
      <w:tr>
        <w:trPr/>
        <w:tc>
          <w:tcPr>
            <w:tcW w:w="96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tbl>
      <w:tblPr>
        <w:tblW w:w="9932" w:type="dxa"/>
        <w:jc w:val="left"/>
        <w:tblInd w:w="0" w:type="dxa"/>
        <w:tblLayout w:type="fixed"/>
        <w:tblCellMar>
          <w:top w:w="28" w:type="dxa"/>
          <w:left w:w="28" w:type="dxa"/>
          <w:bottom w:w="28" w:type="dxa"/>
          <w:right w:w="28" w:type="dxa"/>
        </w:tblCellMar>
      </w:tblPr>
      <w:tblGrid>
        <w:gridCol w:w="931"/>
        <w:gridCol w:w="9001"/>
      </w:tblGrid>
      <w:tr>
        <w:trPr/>
        <w:tc>
          <w:tcPr>
            <w:tcW w:w="931"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Exhibit No.</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Description</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001" w:type="dxa"/>
            <w:tcBorders/>
            <w:tcMar>
              <w:top w:w="0" w:type="dxa"/>
              <w:left w:w="0" w:type="dxa"/>
              <w:bottom w:w="0" w:type="dxa"/>
              <w:right w:w="0" w:type="dxa"/>
            </w:tcMar>
            <w:vAlign w:val="center"/>
          </w:tcPr>
          <w:p>
            <w:pPr>
              <w:pStyle w:val="TableContents"/>
              <w:bidi w:val="0"/>
              <w:spacing w:before="0" w:after="283"/>
              <w:jc w:val="left"/>
              <w:rPr/>
            </w:pPr>
            <w:hyperlink w:anchor="urbn-ex99_1.htm">
              <w:r>
                <w:rPr>
                  <w:rStyle w:val="InternetLink"/>
                  <w:rFonts w:ascii="Times New Roman" w:hAnsi="Times New Roman"/>
                  <w:color w:val="0000FF"/>
                  <w:sz w:val="20"/>
                  <w:u w:val="single"/>
                </w:rPr>
                <w:t>Earnings Release dated August 26, 2026 – Operating results for the three and six months ended July 31, 2026</w:t>
              </w:r>
            </w:hyperlink>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center"/>
        <w:rPr>
          <w:rFonts w:ascii="Times New Roman" w:hAnsi="Times New Roman"/>
          <w:color w:val="000000"/>
          <w:sz w:val="20"/>
        </w:rPr>
      </w:pPr>
      <w:bookmarkStart w:id="9" w:name="eolpage3"/>
      <w:bookmarkEnd w:id="9"/>
      <w:r>
        <w:rPr>
          <w:rFonts w:ascii="Times New Roman" w:hAnsi="Times New Roman"/>
          <w:color w:val="000000"/>
          <w:sz w:val="20"/>
        </w:rPr>
        <w:t>- 1 -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25" w:after="283"/>
        <w:jc w:val="center"/>
        <w:rPr>
          <w:rFonts w:ascii="Times New Roman" w:hAnsi="Times New Roman"/>
          <w:b/>
          <w:color w:val="000000"/>
          <w:sz w:val="20"/>
        </w:rPr>
      </w:pPr>
      <w:bookmarkStart w:id="10" w:name="fis_signatures"/>
      <w:bookmarkEnd w:id="10"/>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39" w:type="dxa"/>
        <w:jc w:val="left"/>
        <w:tblInd w:w="0" w:type="dxa"/>
        <w:tblLayout w:type="fixed"/>
        <w:tblCellMar>
          <w:top w:w="28" w:type="dxa"/>
          <w:left w:w="28" w:type="dxa"/>
          <w:bottom w:w="28" w:type="dxa"/>
          <w:right w:w="28" w:type="dxa"/>
        </w:tblCellMar>
      </w:tblPr>
      <w:tblGrid>
        <w:gridCol w:w="161"/>
        <w:gridCol w:w="146"/>
        <w:gridCol w:w="1936"/>
        <w:gridCol w:w="146"/>
        <w:gridCol w:w="146"/>
        <w:gridCol w:w="146"/>
        <w:gridCol w:w="406"/>
        <w:gridCol w:w="146"/>
        <w:gridCol w:w="220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URBAN OUTFITTERS,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Melanie Marein-Efron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Melanie Marein-Efron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1" w:name="urbn-ex99_1.htm"/>
      <w:bookmarkStart w:id="12" w:name="ksurbnex99_1"/>
      <w:bookmarkEnd w:id="11"/>
      <w:bookmarkEnd w:id="12"/>
      <w:r>
        <w:rPr/>
        <w:t> </w:t>
      </w:r>
      <w:r>
        <w:br w:type="page"/>
      </w:r>
    </w:p>
    <w:p>
      <w:pPr>
        <w:pStyle w:val="TextBody"/>
        <w:bidi w:val="0"/>
        <w:spacing w:before="120" w:after="283"/>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jc w:val="center"/>
        <w:rPr>
          <w:rFonts w:ascii="Times New Roman" w:hAnsi="Times New Roman"/>
          <w:b/>
          <w:color w:val="000000"/>
          <w:sz w:val="20"/>
        </w:rPr>
      </w:pPr>
      <w:r>
        <w:rPr>
          <w:rFonts w:ascii="Times New Roman" w:hAnsi="Times New Roman"/>
          <w:b/>
          <w:color w:val="000000"/>
          <w:sz w:val="20"/>
        </w:rPr>
        <w:t>Second Quarter Results</w:t>
      </w:r>
    </w:p>
    <w:p>
      <w:pPr>
        <w:pStyle w:val="TextBody"/>
        <w:bidi w:val="0"/>
        <w:jc w:val="center"/>
        <w:rPr>
          <w:rFonts w:ascii="Times New Roman" w:hAnsi="Times New Roman"/>
          <w:b/>
          <w:color w:val="000000"/>
          <w:sz w:val="20"/>
        </w:rPr>
      </w:pPr>
      <w:r>
        <w:rPr>
          <w:rFonts w:ascii="Times New Roman" w:hAnsi="Times New Roman"/>
          <w:b/>
          <w:color w:val="000000"/>
          <w:sz w:val="20"/>
        </w:rPr>
        <w:t>Philadelphia, PA – August 26, 2026</w:t>
      </w:r>
    </w:p>
    <w:tbl>
      <w:tblPr>
        <w:tblW w:w="7313" w:type="dxa"/>
        <w:jc w:val="left"/>
        <w:tblInd w:w="0" w:type="dxa"/>
        <w:tblLayout w:type="fixed"/>
        <w:tblCellMar>
          <w:top w:w="28" w:type="dxa"/>
          <w:left w:w="28" w:type="dxa"/>
          <w:bottom w:w="28" w:type="dxa"/>
          <w:right w:w="28" w:type="dxa"/>
        </w:tblCellMar>
      </w:tblPr>
      <w:tblGrid>
        <w:gridCol w:w="2086"/>
        <w:gridCol w:w="486"/>
        <w:gridCol w:w="1211"/>
        <w:gridCol w:w="109"/>
        <w:gridCol w:w="3421"/>
      </w:tblGrid>
      <w:tr>
        <w:trPr/>
        <w:tc>
          <w:tcPr>
            <w:tcW w:w="20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For Immediate Release</w:t>
            </w:r>
          </w:p>
        </w:tc>
        <w:tc>
          <w:tcPr>
            <w:tcW w:w="486" w:type="dxa"/>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211" w:type="dxa"/>
            <w:tcBorders/>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Contact: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Oona McCullough</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Director of Investor Relations</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(215) 454-4806</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URBN Reports Record Q2 Sales and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PHILADELPHIA, PA, August 26, 2026 – Urban Outfitters, Inc. (NASDAQ:URBN), a leading lifestyle products and services company which operates a portfolio of global consumer brands including the Anthropologie, Free People, FP Movement, Urban Outfitters and Nuuly brands, today announced net income of $240.7 million and earnings per diluted share of $2.78 for the three months ended July 31, 2026. For the six months ended July 31, 2026, net income was $356.4 million and earnings per diluted share were $4.06.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July 31, 2026, adjusted net income was $149.3 million and adjusted earnings per diluted share were $1.72. For the six months ended July 31, 2026, adjusted net income was $265.0 million and adjusted earnings per diluted share were $3.02. Adjusted net income and adjusted earnings per diluted share for the three and six months ended July 31, 2026, excludes one-time benefits related to refunds for tariffs previously paid under the International Emergency Economic Powers Act ("IEEPA"), associated interest income and a tax benefit related to the release of a valuation allowance against certain foreign net deferred tax assets. See “Reconciliation of Non-GAAP Financial Measures” included at the end of this release.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Company net sales for the three months ended July 31, 2026, increased 10.4% to a record $1.66 billion. Total Retail segment net sales increased 8.0%, with comparable Retail segment net sales increasing 6.2%. The increase in Retail segment comparable net sales was driven by high single-digit positive growth in digital channel sales and mid single-digit positive growth in retail store sales. Comparable Retail segment net sales increased 10.0% at FP Group, 8.4% at Urban Outfitters and 3.0% at Anthropologie. Subscription segment net sales increased 28.6% primarily driven by a 30.4% increase in average active subscribers in the current quarter versus the prior year quarter. Wholesale segment net sales increased 18.6% driven by a 19.2% increase in FP Group wholesale sales due to an increase in sales to specialty customers and department stores.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July 31, 2026, total Company net sales increased 10.9% to a record $3.14 billion. Total Retail segment net sales increased 8.0%, with comparable Retail segment net sales increasing 6.0%. The increase in Retail segment comparable net sales was driven by high single-digit positive growth in digital channel sales and mid single-digit positive growth in retail store sales. Comparable Retail segment net sales increased 9.9% at FP Group, 8.8% at Urban Outfitters and 2.5% at Anthropologie. Subscription segment net sales increased 31.4% primarily driven by a 31.8% increase in average active subscribers in the current period versus the prior year period. Wholesale segment net sales increased 21.7% driven by a 22.6% increase in FP Group wholesale sales primarily due to an increase in sales to specialty customers.</w:t>
      </w:r>
    </w:p>
    <w:p>
      <w:pPr>
        <w:pStyle w:val="TextBody"/>
        <w:bidi w:val="0"/>
        <w:spacing w:before="240" w:after="283"/>
        <w:jc w:val="both"/>
        <w:rPr>
          <w:color w:val="000000"/>
        </w:rPr>
      </w:pPr>
      <w:r>
        <w:rPr>
          <w:color w:val="000000"/>
        </w:rPr>
        <w:t>“</w:t>
      </w:r>
      <w:r>
        <w:rPr>
          <w:rFonts w:ascii="Times New Roman" w:hAnsi="Times New Roman"/>
          <w:color w:val="000000"/>
          <w:sz w:val="20"/>
        </w:rPr>
        <w:t>We are pleased to report our highest adjusted profit quarter in Company history, marking our eighth consecutive quarter of record sales and profits. These results were driven by positive Retail segment ‘comps’ at every brand and continued double-digit growth in our Wholesale and Subscription segments,” said Richard A. Hayne, Chief Executive Officer. “Our customers continue to respond favorably to our fashion assortments. This gives us confidence in URBN's ongoing success,” finished Mr. Hayne.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Net sales by brand and segment for the three and six-month periods were as follows:</w:t>
      </w:r>
    </w:p>
    <w:tbl>
      <w:tblPr>
        <w:tblW w:w="7541" w:type="dxa"/>
        <w:jc w:val="left"/>
        <w:tblInd w:w="0" w:type="dxa"/>
        <w:tblLayout w:type="fixed"/>
        <w:tblCellMar>
          <w:top w:w="28" w:type="dxa"/>
          <w:left w:w="28" w:type="dxa"/>
          <w:bottom w:w="28" w:type="dxa"/>
          <w:right w:w="28" w:type="dxa"/>
        </w:tblCellMar>
      </w:tblPr>
      <w:tblGrid>
        <w:gridCol w:w="1906"/>
        <w:gridCol w:w="211"/>
        <w:gridCol w:w="931"/>
        <w:gridCol w:w="146"/>
        <w:gridCol w:w="146"/>
        <w:gridCol w:w="211"/>
        <w:gridCol w:w="931"/>
        <w:gridCol w:w="146"/>
        <w:gridCol w:w="146"/>
        <w:gridCol w:w="211"/>
        <w:gridCol w:w="931"/>
        <w:gridCol w:w="146"/>
        <w:gridCol w:w="146"/>
        <w:gridCol w:w="211"/>
        <w:gridCol w:w="93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brand</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Anthropologie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FP Group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Urban Outfitters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Nuuly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Menus &amp; 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Company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 by segment</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Segment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2,419,779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Segment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 Segment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Company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20" w:after="283"/>
        <w:jc w:val="both"/>
        <w:rPr>
          <w:rFonts w:ascii="Times New Roman" w:hAnsi="Times New Roman"/>
          <w:color w:val="000000"/>
          <w:sz w:val="20"/>
        </w:rPr>
      </w:pPr>
      <w:r>
        <w:rPr>
          <w:rFonts w:ascii="Times New Roman" w:hAnsi="Times New Roman"/>
          <w:color w:val="000000"/>
          <w:sz w:val="20"/>
        </w:rPr>
        <w:t>For the three months ended July 31, 2026, the gross profit rate increased by 580 basis points compared to the three months ended July 31, 2025, and gross profit dollars increased 27.4% to $721.6 million from $566.2 million. For the three months ended July 31, 2026, the adjusted gross profit rate increased by 4 basis points compared to the three months ended July 31, 2025, and adjusted gross profit dollars increased 10.6% to $625.9 million from $566.2 million. The increase in the adjusted gross profit rate was primarily due to leverage in store occupancy costs due to the increase in comparable Retail segment store net sales and leverage in delivery expense as a result of several company initiatives to offset fuel surcharges, partially offset by an increase in Retail segment markdowns driven by Anthropologie and the negative impacts of tariffs and inbound freight fuel surcharges on initial merchandise costs. The increase in adjusted gross profit dollars was primarily due to higher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July 31, 2026, the gross profit rate increased by 299 basis points compared to the six months ended July 31, 2025, and gross profit dollars increased 19.8% to $1.26 billion from $1.06 billion. For the six months ended July 31, 2026, the adjusted gross profit rate decreased by 6 basis points compared to the six months ended July 31, 2025, and adjusted gross profit dollars increased 10.7% to $1.17 billion from $1.06 billion. The decrease in the adjusted gross profit rate was primarily due to an increase in Retail segment markdowns driven by Anthropologie and the impact of a prior year gain of $4.8 million, or 17 basis points, not repeated in the current year period, partially offset by leverage in store occupancy costs due to the increase in comparable Retail segment store net sales. The increase in adjusted gross profit dollars was primarily due to higher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July 31, 2026, total inventory increased by $82.3 million, or 11.8%, compared to total inventory as of July 31, 2025. Total Retail segment inventory increased 12.0% and Retail segment comparable inventory increased 8.4%. Wholesale segment inventory increased 10.0%. The increase in Retail segment inventory was due to the increase in net sales and timing of inventory receipts. The increase in Wholesale segment inventory was due to the increase in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July 31, 2026, selling, general and administrative expenses increased by $41.0 million, or 10.5%, compared to the three months ended July 31, 2025. Selling, general and administrative expenses were flat as a percentage of net sales compared to the three months ended July 31, 2025. The leverage in store payroll expenses due to the growth in Retail segment store net sales was offset by the deleverage in marketing expenses to support customer growth and increased net sales in the Retail and Subscription segments, along with increased artificial intelligence technology investments benefiting the Company's current and future operations. The dollar growth in selling, general and administrative expenses was primarily due to increased marketing expenses to support customer growth and increased net sales in the Retail and Subscription segments, as well as increased store payroll expenses to support the growth in Retail segment store net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July 31, 2026, selling, general and administrative expenses increased by $83.1 million, or 11.0%, compared to the six months ended July 31, 2025. Selling, general and administrative expenses deleveraged 4 basis points as a percentage of net sales compared to the six months ended July 31, 2025. The deleverage in selling, general and administrative expenses was primarily related to deleverage in marketing expenses to support customer growth and increased net sales in the Retail and Subscription segments, along with increased artificial intelligence technology investments benefiting the Company's current and future operations. This was partially offset by a discrete benefit of $6.9 million, or 22 basis points,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current year period resulting from the reversal of a litigation accrual, as well as leverage in store payroll expenses due to the growth in Retail segment store net sales. The dollar growth in selling, general and administrative expenses was primarily related to increased marketing expenses to support customer growth and increased net sales in the Retail and Subscription segments, increased store payroll expenses to support the growth in Retail segment store net sales and increased artificial intelligence technology investments benefiting the Company's current and future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effective tax rate for the three months ended July 31, 2026, was 19.4%, compared to 21.5% in the three months ended July 31, 2025. The Company's adjusted effective tax rate for the three months ended July 31, 2026, was 24.8%. The Company's effective tax rate for the six months ended July 31, 2026, was 19.8%, compared to 21.5% in the six months ended July 31, 2025. The Company's adjusted effective tax rate for the six months ended July 31, 2026, was 23.0%. The change in the adjusted effective tax rate for the three and six months ended July 31, 2026, was primarily attributable to the ratio of foreign taxable earnings to global taxable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income for the three months ended July 31, 2026, was $240.7 million and earnings per diluted share were $2.78. Adjusted net income for the three months ended July 31, 2026, was $149.3 million and adjusted earnings per diluted share were $1.72. Net income for the six months ended July 31, 2026, was $356.4 million and earnings per diluted share were $4.06. Adjusted net income for the six months ended July 31, 2026, was $265.0 million and adjusted earnings per diluted share were $3.02.</w:t>
      </w:r>
    </w:p>
    <w:p>
      <w:pPr>
        <w:pStyle w:val="TextBody"/>
        <w:bidi w:val="0"/>
        <w:spacing w:before="225" w:after="283"/>
        <w:jc w:val="both"/>
        <w:rPr>
          <w:rFonts w:ascii="Times New Roman" w:hAnsi="Times New Roman"/>
          <w:sz w:val="20"/>
        </w:rPr>
      </w:pPr>
      <w:r>
        <w:rPr>
          <w:rFonts w:ascii="Times New Roman" w:hAnsi="Times New Roman"/>
          <w:color w:val="000000"/>
          <w:sz w:val="20"/>
        </w:rPr>
        <w:t>On June 4, 2019, the Company’s Board of Directors authorized the repurchase of 20 million common shares under a share repurchase program. During the six months ended July 31, 2026, the Company repurchased and subsequently retired 4.6 million shares for approximately $300 million. During the year ended January 31, 2026, the Company repurchased and subsequently retired 3.3 million shares for approximately $154 million. As of July 31, 2026, 10.0</w:t>
      </w:r>
      <w:r>
        <w:rPr>
          <w:rFonts w:ascii="Times New Roman" w:hAnsi="Times New Roman"/>
          <w:color w:val="FF0000"/>
          <w:sz w:val="20"/>
        </w:rPr>
        <w:t xml:space="preserve"> </w:t>
      </w:r>
      <w:r>
        <w:rPr>
          <w:rFonts w:ascii="Times New Roman" w:hAnsi="Times New Roman"/>
          <w:color w:val="000000"/>
          <w:sz w:val="20"/>
        </w:rPr>
        <w:t>million common shares were remaining under the program.</w:t>
      </w:r>
    </w:p>
    <w:p>
      <w:pPr>
        <w:pStyle w:val="TextBody"/>
        <w:bidi w:val="0"/>
        <w:spacing w:before="225" w:after="240"/>
        <w:jc w:val="both"/>
        <w:rPr>
          <w:rFonts w:ascii="Times New Roman" w:hAnsi="Times New Roman"/>
          <w:color w:val="000000"/>
          <w:sz w:val="20"/>
        </w:rPr>
      </w:pPr>
      <w:r>
        <w:rPr>
          <w:rFonts w:ascii="Times New Roman" w:hAnsi="Times New Roman"/>
          <w:color w:val="000000"/>
          <w:sz w:val="20"/>
        </w:rPr>
        <w:t>Store data for the six months ended July 31, 2026, was as follows:</w:t>
      </w:r>
    </w:p>
    <w:tbl>
      <w:tblPr>
        <w:tblW w:w="7251" w:type="dxa"/>
        <w:jc w:val="left"/>
        <w:tblInd w:w="0" w:type="dxa"/>
        <w:tblLayout w:type="fixed"/>
        <w:tblCellMar>
          <w:top w:w="28" w:type="dxa"/>
          <w:left w:w="28" w:type="dxa"/>
          <w:bottom w:w="28" w:type="dxa"/>
          <w:right w:w="28" w:type="dxa"/>
        </w:tblCellMar>
      </w:tblPr>
      <w:tblGrid>
        <w:gridCol w:w="2671"/>
        <w:gridCol w:w="146"/>
        <w:gridCol w:w="254"/>
        <w:gridCol w:w="736"/>
        <w:gridCol w:w="146"/>
        <w:gridCol w:w="146"/>
        <w:gridCol w:w="231"/>
        <w:gridCol w:w="550"/>
        <w:gridCol w:w="146"/>
        <w:gridCol w:w="146"/>
        <w:gridCol w:w="209"/>
        <w:gridCol w:w="497"/>
        <w:gridCol w:w="146"/>
        <w:gridCol w:w="146"/>
        <w:gridCol w:w="177"/>
        <w:gridCol w:w="513"/>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Anthropologie 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Anthropologie EU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Anthropologie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People 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FP Movement 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Free People EU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FP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Urban Outfitters 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Urban Outfitters EU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Urban Outfitters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Menus &amp; 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Franchisee-Owned Stores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URBN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7 Urban Outfitters and 2 Anthropologie franchisee-owned stores.</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Urban Outfitters, Inc. offers lifestyle-oriented general merchandise and consumer products and services through a portfolio of global consumer brands. The Company operates omni-channel retail operations including stores, websites and catalogs for the Anthropologie, Free People, FP Movement and Urban Outfitters brands across the United States, Canada and Europe; Menus &amp; Venues restaurants; and Urban Outfitters and Anthropologie franchisee-owned stores in the Middle East. Free People, FP Movement and Urban Outfitters wholesale sell products to department and specialty stores worldwide, digital businesses and the Company's Retail segment. Nuuly is primarily a women's apparel subscription rental service offering a wide selection of rental product from the Company's own brands, third-party brands and one-of-a-kind vintage pieces.</w:t>
      </w:r>
    </w:p>
    <w:p>
      <w:pPr>
        <w:pStyle w:val="TextBody"/>
        <w:bidi w:val="0"/>
        <w:spacing w:before="225" w:after="283"/>
        <w:jc w:val="both"/>
        <w:rPr>
          <w:rFonts w:ascii="Times New Roman" w:hAnsi="Times New Roman"/>
          <w:color w:val="000000"/>
          <w:sz w:val="20"/>
        </w:rPr>
      </w:pPr>
      <w:r>
        <w:rPr>
          <w:rFonts w:ascii="Times New Roman" w:hAnsi="Times New Roman"/>
          <w:color w:val="000000"/>
          <w:sz w:val="20"/>
        </w:rPr>
        <w:t>A conference call will be held today to discuss second quarter results and will be webcast at 5:00 pm. ET at: https://edge.media-server.com/mmc/p/9wzhhhd4/.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5" w:after="283"/>
        <w:jc w:val="both"/>
        <w:rPr>
          <w:rFonts w:ascii="Times New Roman" w:hAnsi="Times New Roman"/>
          <w:color w:val="000000"/>
          <w:sz w:val="20"/>
        </w:rPr>
      </w:pPr>
      <w:r>
        <w:rPr>
          <w:rFonts w:ascii="Times New Roman" w:hAnsi="Times New Roman"/>
          <w:color w:val="000000"/>
          <w:sz w:val="20"/>
        </w:rPr>
        <w:t>As used in this document, unless otherwise defined, “Anthropologie” refers to the Company’s Anthropologie, Terrain and Maeve brands and “FP Group” refers to the Company’s Free People and FP Movement brands.</w:t>
      </w:r>
    </w:p>
    <w:p>
      <w:pPr>
        <w:pStyle w:val="TextBody"/>
        <w:bidi w:val="0"/>
        <w:spacing w:before="225" w:after="283"/>
        <w:jc w:val="both"/>
        <w:rPr>
          <w:rFonts w:ascii="Times New Roman" w:hAnsi="Times New Roman"/>
          <w:sz w:val="20"/>
        </w:rPr>
      </w:pPr>
      <w:r>
        <w:rPr>
          <w:rFonts w:ascii="Times New Roman" w:hAnsi="Times New Roman"/>
          <w:b/>
          <w:color w:val="000000"/>
          <w:sz w:val="20"/>
        </w:rPr>
        <w:t>This news release is being made pursuant to the “safe harbor” provisions of the Private Securities Litigation Reform Act of 1995.</w:t>
      </w:r>
      <w:r>
        <w:rPr>
          <w:rFonts w:ascii="Times New Roman" w:hAnsi="Times New Roman"/>
          <w:color w:val="000000"/>
          <w:sz w:val="20"/>
        </w:rPr>
        <w:t xml:space="preserve"> </w:t>
      </w:r>
      <w:r>
        <w:rPr>
          <w:rFonts w:ascii="Times New Roman" w:hAnsi="Times New Roman"/>
          <w:i/>
          <w:color w:val="000000"/>
          <w:sz w:val="20"/>
        </w:rPr>
        <w:t>Certain matters contained in this release may contain forward-looking statements. When used in this release, the words “project,” “believe,” “plan,” “will,” “anticipate,” “expect” and similar expressions are intended to identify forward-looking statements, although not all forward-looking statements contain these identifying words. Any one, or all, of the following factors could cause actual financial results to differ materially from those financial results mentioned in the forward-looking statements: overall economic and market conditions (including current levels of inflation) and worldwide political events and the resultant impact on consumer spending patterns and our pricing power, the difficulty in predicting and responding to shifts in fashion trends, changes in the level of competitive pricing and promotional activity and other industry factors, currency fluctuations, economic conditions and legal or regulatory changes, the effects of war and geopolitical instability, including impacts of the conflicts in the Middle East and impacts of the war between Russia and Ukraine and from related sanctions imposed by the United States, European Union, United Kingdom and others, terrorism and civil unrest, natural disasters, severe or unseasonable weather conditions (including as a result of climate change) or public health crises, labor shortages and increases in labor costs, raw material costs and transportation costs, availability of suitable retail space for expansion, timing of store openings, risks associated with international expansion, seasonal fluctuations in gross sales, response to new concepts, our ability to integrate acquisitions, risks associated with digital sales, our ability to maintain and expand our digital sales channels, any material disruptions or security breaches with respect to our technology systems, our effective utilization of technological advancements, including in artificial intelligence, the departure of one or more key senior executives, import risks (including any shortage of transportation capacities or delays at ports), changes to U.S. and foreign trade policies (including the enactment of tariffs such as retaliatory tariffs), border adjustment taxes or increases in duties or quotas, the unexpected closing or disruption of, or any damage to, any of our distribution centers, our ability to protect our intellectual property rights, failure of our manufacturers and third-party vendors to comply with our social compliance program, risks related to environmental, social and governance activities, changes in our effective income tax rate, changes in accounting standards and subjective assumptions, regulatory changes and legal matters and other risks identified in our filings with the Securities and Exchange Commission. The Company disclaims any intent or obligation to update forward-looking statements even if experience or future changes make it clear that actual results may differ materially from any projected results expressed or implied therein.</w:t>
      </w:r>
    </w:p>
    <w:p>
      <w:pPr>
        <w:pStyle w:val="TextBody"/>
        <w:bidi w:val="0"/>
        <w:spacing w:before="240" w:after="283"/>
        <w:jc w:val="center"/>
        <w:rPr>
          <w:rFonts w:ascii="Times New Roman" w:hAnsi="Times New Roman"/>
          <w:i/>
          <w:color w:val="000000"/>
          <w:sz w:val="16"/>
        </w:rPr>
      </w:pPr>
      <w:r>
        <w:rPr>
          <w:rFonts w:ascii="Times New Roman" w:hAnsi="Times New Roman"/>
          <w:i/>
          <w:color w:val="000000"/>
          <w:sz w:val="16"/>
        </w:rPr>
        <w:t>###</w:t>
      </w:r>
    </w:p>
    <w:p>
      <w:pPr>
        <w:pStyle w:val="TextBody"/>
        <w:bidi w:val="0"/>
        <w:jc w:val="center"/>
        <w:rPr>
          <w:rFonts w:ascii="Times New Roman" w:hAnsi="Times New Roman"/>
          <w:color w:val="000000"/>
          <w:sz w:val="20"/>
        </w:rPr>
      </w:pPr>
      <w:bookmarkStart w:id="13" w:name="eolpage8"/>
      <w:bookmarkEnd w:id="13"/>
      <w:r>
        <w:rPr>
          <w:rFonts w:ascii="Times New Roman" w:hAnsi="Times New Roman"/>
          <w:color w:val="000000"/>
          <w:sz w:val="20"/>
        </w:rPr>
        <w:t>(Tables follow)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5" w:after="283"/>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 except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50"/>
        <w:gridCol w:w="211"/>
        <w:gridCol w:w="1036"/>
        <w:gridCol w:w="271"/>
        <w:gridCol w:w="146"/>
        <w:gridCol w:w="211"/>
        <w:gridCol w:w="1036"/>
        <w:gridCol w:w="271"/>
        <w:gridCol w:w="146"/>
        <w:gridCol w:w="211"/>
        <w:gridCol w:w="1036"/>
        <w:gridCol w:w="271"/>
        <w:gridCol w:w="146"/>
        <w:gridCol w:w="211"/>
        <w:gridCol w:w="1036"/>
        <w:gridCol w:w="316"/>
      </w:tblGrid>
      <w:tr>
        <w:trPr/>
        <w:tc>
          <w:tcPr>
            <w:tcW w:w="3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1,661,915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2,834,256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938,594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1,879,143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1,779,031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85,633,607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89,667,451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86,553,213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90,692,646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86,667,561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91,167,981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87,719,187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92,304,624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NET SALES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007" w:type="dxa"/>
        <w:jc w:val="left"/>
        <w:tblInd w:w="0" w:type="dxa"/>
        <w:tblLayout w:type="fixed"/>
        <w:tblCellMar>
          <w:top w:w="28" w:type="dxa"/>
          <w:left w:w="28" w:type="dxa"/>
          <w:bottom w:w="28" w:type="dxa"/>
          <w:right w:w="28" w:type="dxa"/>
        </w:tblCellMar>
      </w:tblPr>
      <w:tblGrid>
        <w:gridCol w:w="5746"/>
        <w:gridCol w:w="211"/>
        <w:gridCol w:w="931"/>
        <w:gridCol w:w="166"/>
        <w:gridCol w:w="146"/>
        <w:gridCol w:w="211"/>
        <w:gridCol w:w="931"/>
        <w:gridCol w:w="166"/>
        <w:gridCol w:w="146"/>
        <w:gridCol w:w="211"/>
        <w:gridCol w:w="931"/>
        <w:gridCol w:w="211"/>
      </w:tblGrid>
      <w:tr>
        <w:trPr/>
        <w:tc>
          <w:tcPr>
            <w:tcW w:w="5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receivable, net of allowance for doubtful accounts</w:t>
              <w:br/>
              <w:t>         of $1,102, $1,209 and $2,388,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Prepaid expenses and other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1,376,811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1,011,840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4,710,793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SHAREHOLDERS’ EQUITY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Current portion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accrued compensation and other</w:t>
              <w:br/>
              <w:t>         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2,130,401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shares; $.0001 par value, 10,000,000 shares</w:t>
              <w:br/>
              <w:t>         authorized, none issued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Common shares; $.0001 par value, 200,000,000 shares authorized,</w:t>
              <w:br/>
              <w:t>         85,650,390, 89,698,222 and 89,696,293 shares issued and</w:t>
              <w:br/>
              <w:t>         outstanding, respectively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Additional paid-in-capital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Retained earnings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Accumulated other comprehensive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Shareholders’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 and Shareholders’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5,122,987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4,710,793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5" w:after="283"/>
        <w:jc w:val="center"/>
        <w:rPr>
          <w:rFonts w:ascii="Times New Roman" w:hAnsi="Times New Roman"/>
          <w:b/>
          <w:color w:val="000000"/>
          <w:sz w:val="20"/>
        </w:rPr>
      </w:pPr>
      <w:r>
        <w:rPr>
          <w:rFonts w:ascii="Times New Roman" w:hAnsi="Times New Roman"/>
          <w:b/>
          <w:color w:val="000000"/>
          <w:sz w:val="20"/>
        </w:rPr>
        <w:t>URBAN OUTFITTERS,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841"/>
        <w:gridCol w:w="166"/>
        <w:gridCol w:w="146"/>
        <w:gridCol w:w="211"/>
        <w:gridCol w:w="841"/>
        <w:gridCol w:w="10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tax credit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disposition of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Payables,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251,046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paid for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(220,293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295,861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share repurchase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Share repurchases related to taxes for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Tax credit investment liability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41,690</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290,481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332,171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Important Information Regarding Non-GAAP Financial Measures</w:t>
      </w:r>
    </w:p>
    <w:p>
      <w:pPr>
        <w:pStyle w:val="TextBody"/>
        <w:bidi w:val="0"/>
        <w:spacing w:before="225" w:after="283"/>
        <w:jc w:val="left"/>
        <w:rPr>
          <w:rFonts w:ascii="Times New Roman" w:hAnsi="Times New Roman"/>
          <w:color w:val="000000"/>
          <w:sz w:val="20"/>
        </w:rPr>
      </w:pPr>
      <w:r>
        <w:rPr>
          <w:rFonts w:ascii="Times New Roman" w:hAnsi="Times New Roman"/>
          <w:color w:val="000000"/>
          <w:sz w:val="20"/>
        </w:rPr>
        <w:t>In addition to evaluating the financial condition and results of our operations in accordance with U.S. generally accepted accounting principles (“GAAP”), from time to time our management evaluates and analyzes results and any impact on the Company of certain events outside of normal, or “core,” business and operations, by considering adjusted financial measures not prepared in accordance with GAAP. Examples of items that we consider non-core include refunds for tariffs previously paid under the International Emergency Economic Powers Act ("IEEPA"), associated interest income and the release of a valuation allowance against certain foreign net deferred tax assets. In order to improve the transparency of our disclosures, provide a meaningful presentation of results from our core business operations and improve period-over-period comparability, we have included certain adjusted financial measures for fiscal 2027 that exclude the impact of these non-core business items.</w:t>
      </w:r>
    </w:p>
    <w:p>
      <w:pPr>
        <w:pStyle w:val="TextBody"/>
        <w:bidi w:val="0"/>
        <w:spacing w:before="225" w:after="283"/>
        <w:jc w:val="left"/>
        <w:rPr>
          <w:rFonts w:ascii="Times New Roman" w:hAnsi="Times New Roman"/>
          <w:color w:val="000000"/>
          <w:sz w:val="20"/>
        </w:rPr>
      </w:pPr>
      <w:r>
        <w:rPr>
          <w:rFonts w:ascii="Times New Roman" w:hAnsi="Times New Roman"/>
          <w:color w:val="000000"/>
          <w:sz w:val="20"/>
        </w:rPr>
        <w:t>We believe these adjusted financial measures are important indicators of our recurring results of operations because they exclude items that may not be indicative of, or are unrelated to, our underlying results of operations and provide a useful baseline for analyzing trends in our underlying business. Management uses adjusted financial measures for planning, forecasting and evaluating business and financial performance.</w:t>
      </w:r>
    </w:p>
    <w:p>
      <w:pPr>
        <w:pStyle w:val="TextBody"/>
        <w:bidi w:val="0"/>
        <w:spacing w:before="225" w:after="283"/>
        <w:jc w:val="left"/>
        <w:rPr>
          <w:rFonts w:ascii="Times New Roman" w:hAnsi="Times New Roman"/>
          <w:color w:val="000000"/>
          <w:sz w:val="20"/>
        </w:rPr>
      </w:pPr>
      <w:r>
        <w:rPr>
          <w:rFonts w:ascii="Times New Roman" w:hAnsi="Times New Roman"/>
          <w:color w:val="000000"/>
          <w:sz w:val="20"/>
        </w:rPr>
        <w:t>Non-GAAP financial measures should be viewed as supplementing, and not as an alternative or substitute for, the Company’s financial results prepared in accordance with GAAP. Certain of the items that may be excluded or included in non-GAAP financial measures may be significant items that could impact the Company’s financial position, results of operations or cash flows and should therefore be considered in assessing the Company’s actual and future financial condition and performance. These adjusted financial measures are not consistent with GAAP and may not be calculated the same as similarly titled measures used by other companies.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557"/>
        <w:gridCol w:w="211"/>
        <w:gridCol w:w="931"/>
        <w:gridCol w:w="166"/>
        <w:gridCol w:w="267"/>
        <w:gridCol w:w="854"/>
        <w:gridCol w:w="271"/>
        <w:gridCol w:w="146"/>
        <w:gridCol w:w="211"/>
        <w:gridCol w:w="931"/>
        <w:gridCol w:w="146"/>
        <w:gridCol w:w="267"/>
        <w:gridCol w:w="854"/>
        <w:gridCol w:w="393"/>
      </w:tblGrid>
      <w:tr>
        <w:trPr/>
        <w:tc>
          <w:tcPr>
            <w:tcW w:w="4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9812"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URBAN OUTFITTERS, INC.</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2"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Non-GAAP Financial Measures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2"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per share data)</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2"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Total Company Adjusted Gross Profit:</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96"/>
        <w:gridCol w:w="211"/>
        <w:gridCol w:w="781"/>
        <w:gridCol w:w="166"/>
        <w:gridCol w:w="250"/>
        <w:gridCol w:w="801"/>
        <w:gridCol w:w="271"/>
        <w:gridCol w:w="146"/>
        <w:gridCol w:w="211"/>
        <w:gridCol w:w="781"/>
        <w:gridCol w:w="146"/>
        <w:gridCol w:w="250"/>
        <w:gridCol w:w="801"/>
        <w:gridCol w:w="394"/>
      </w:tblGrid>
      <w:tr>
        <w:trPr/>
        <w:tc>
          <w:tcPr>
            <w:tcW w:w="4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Total Company Adjusted Income From Operations: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from operations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5"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(GAAP)</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from operations (Non-GAAP)</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396" w:type="dxa"/>
        <w:jc w:val="left"/>
        <w:tblInd w:w="0" w:type="dxa"/>
        <w:tblLayout w:type="fixed"/>
        <w:tblCellMar>
          <w:top w:w="28" w:type="dxa"/>
          <w:left w:w="28" w:type="dxa"/>
          <w:bottom w:w="28" w:type="dxa"/>
          <w:right w:w="28" w:type="dxa"/>
        </w:tblCellMar>
      </w:tblPr>
      <w:tblGrid>
        <w:gridCol w:w="4816"/>
        <w:gridCol w:w="235"/>
        <w:gridCol w:w="872"/>
        <w:gridCol w:w="302"/>
        <w:gridCol w:w="163"/>
        <w:gridCol w:w="163"/>
        <w:gridCol w:w="235"/>
        <w:gridCol w:w="872"/>
        <w:gridCol w:w="302"/>
        <w:gridCol w:w="436"/>
      </w:tblGrid>
      <w:tr>
        <w:trPr/>
        <w:tc>
          <w:tcPr>
            <w:tcW w:w="48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839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URBAN OUTFITTERS, INC.</w:t>
            </w:r>
          </w:p>
        </w:tc>
      </w:tr>
      <w:tr>
        <w:trPr/>
        <w:tc>
          <w:tcPr>
            <w:tcW w:w="839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Non-GAAP Financial Measures</w:t>
            </w:r>
          </w:p>
        </w:tc>
      </w:tr>
      <w:tr>
        <w:trPr/>
        <w:tc>
          <w:tcPr>
            <w:tcW w:w="839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per share data)</w:t>
            </w:r>
          </w:p>
        </w:tc>
      </w:tr>
      <w:tr>
        <w:trPr/>
        <w:tc>
          <w:tcPr>
            <w:tcW w:w="839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96"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Total Company Adjusted Income Tax Expense and Adjusted Effective Tax Rate:</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related to IEEPA tariff refunds (b)</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income taxes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198,435</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183,273</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57,889</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 on adjustments (c)</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valuation allowance (d)</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 expense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49,136</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39,408</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income tax rate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444,406</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321,146</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related to IEEPA tariff refunds (b)</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income taxes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344,301</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321,146</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 on adjustments (c)</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valuation allowance (d)</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 expense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79,297</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68,934</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 (GAAP)</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income tax rate (Non-GAAP)</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788"/>
        <w:gridCol w:w="286"/>
        <w:gridCol w:w="1061"/>
        <w:gridCol w:w="225"/>
        <w:gridCol w:w="287"/>
        <w:gridCol w:w="918"/>
        <w:gridCol w:w="367"/>
        <w:gridCol w:w="198"/>
        <w:gridCol w:w="286"/>
        <w:gridCol w:w="1061"/>
        <w:gridCol w:w="198"/>
        <w:gridCol w:w="326"/>
        <w:gridCol w:w="807"/>
        <w:gridCol w:w="397"/>
      </w:tblGrid>
      <w:tr>
        <w:trPr/>
        <w:tc>
          <w:tcPr>
            <w:tcW w:w="37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URBAN OUTFITTERS, INC.</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Non-GAAP Financial Measures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per share data)</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Total Company Adjusted Net Income and Adjusted Diluted EPS: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(GAAP)</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related to IEEPA tariff refunds (b)</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 on adjustments (c)</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valuation allowance (d)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149,299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(GAAP)</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net of tax</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EPS (Non-GAAP)</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0"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Net Sales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(GAAP)</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IEEPA tariff refunds (a)</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related to IEEPA tariff refunds (b)</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 on adjustments (c)</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 of valuation allowance (d)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(Non-GAAP)</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265,004</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252,212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(GAAP)</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net of tax</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EPS (Non-GAAP)</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Included in "Cost of sales" is a one-time benefit related to refunds for tariffs previously paid under the International Emergency Economic Powers Act ("IEEPA") which the Company received during the three and six months ended July 31, 2026.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Included in "Other income, net" is interest income related to refunds for IEEPA tariffs received during the three and six months ended July 31, 2026.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The income tax impact of non-GAAP adjustments is calculated using the estimated tax rate in effect for the respective non-GAAP adjustment.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08" w:type="dxa"/>
            <w:gridSpan w:val="1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During the three and six months ended July 31, 2026, the Company released a valuation allowance against certain of its foreign net deferred tax assets, resulting in a benefit included in "Income tax expense."</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4712</Words>
  <Characters>25843</Characters>
  <CharactersWithSpaces>31742</CharactersWithSpaces>
  <Paragraphs>2971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